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Pr="00B90BA1" w:rsidRDefault="00277052" w:rsidP="00C869F3">
      <w:pPr>
        <w:spacing w:after="480"/>
        <w:rPr>
          <w:rFonts w:cs="Arial"/>
        </w:rPr>
      </w:pPr>
      <w:r w:rsidRPr="00B90BA1">
        <w:rPr>
          <w:rFonts w:cs="Arial"/>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Pr>
      <w:tblGrid>
        <w:gridCol w:w="3397"/>
        <w:gridCol w:w="4912"/>
      </w:tblGrid>
      <w:tr w:rsidR="00333FAA" w:rsidRPr="00B90BA1" w14:paraId="322EF0DF" w14:textId="77777777" w:rsidTr="6EBD3728">
        <w:trPr>
          <w:tblHeader/>
        </w:trPr>
        <w:tc>
          <w:tcPr>
            <w:tcW w:w="3456" w:type="dxa"/>
            <w:tcBorders>
              <w:bottom w:val="single" w:sz="18" w:space="0" w:color="auto"/>
            </w:tcBorders>
          </w:tcPr>
          <w:p w14:paraId="10F9A427" w14:textId="7B999E86" w:rsidR="00333FAA" w:rsidRPr="00421447" w:rsidRDefault="005811F8" w:rsidP="00F06E4E">
            <w:pPr>
              <w:pStyle w:val="Heading1"/>
              <w:spacing w:after="240"/>
              <w:rPr>
                <w:b/>
                <w:bCs w:val="0"/>
              </w:rPr>
            </w:pPr>
            <w:r w:rsidRPr="00421447">
              <w:rPr>
                <w:b/>
                <w:bCs w:val="0"/>
              </w:rPr>
              <w:t>Report for</w:t>
            </w:r>
            <w:r w:rsidR="00333FAA" w:rsidRPr="00421447">
              <w:rPr>
                <w:b/>
                <w:bCs w:val="0"/>
              </w:rPr>
              <w:t>:</w:t>
            </w:r>
          </w:p>
        </w:tc>
        <w:tc>
          <w:tcPr>
            <w:tcW w:w="5054" w:type="dxa"/>
            <w:tcBorders>
              <w:bottom w:val="single" w:sz="18" w:space="0" w:color="auto"/>
            </w:tcBorders>
          </w:tcPr>
          <w:p w14:paraId="541B30E0" w14:textId="442CD286" w:rsidR="00333FAA" w:rsidRPr="00421447" w:rsidRDefault="005811F8" w:rsidP="00F06E4E">
            <w:pPr>
              <w:pStyle w:val="Heading1"/>
              <w:rPr>
                <w:b/>
                <w:bCs w:val="0"/>
                <w:szCs w:val="24"/>
              </w:rPr>
            </w:pPr>
            <w:r w:rsidRPr="00421447">
              <w:rPr>
                <w:b/>
                <w:bCs w:val="0"/>
              </w:rPr>
              <w:t>Cabinet</w:t>
            </w:r>
            <w:r w:rsidR="00F97779" w:rsidRPr="00421447">
              <w:rPr>
                <w:b/>
                <w:bCs w:val="0"/>
              </w:rPr>
              <w:t xml:space="preserve"> </w:t>
            </w:r>
          </w:p>
        </w:tc>
      </w:tr>
      <w:tr w:rsidR="00333FAA" w:rsidRPr="00B90BA1" w14:paraId="67D60646" w14:textId="77777777" w:rsidTr="6EBD3728">
        <w:tc>
          <w:tcPr>
            <w:tcW w:w="3456" w:type="dxa"/>
            <w:tcBorders>
              <w:top w:val="single" w:sz="18" w:space="0" w:color="auto"/>
            </w:tcBorders>
          </w:tcPr>
          <w:p w14:paraId="4DDB5947" w14:textId="77777777" w:rsidR="00333FAA" w:rsidRPr="00421447" w:rsidRDefault="00333FAA" w:rsidP="00C869F3">
            <w:pPr>
              <w:pStyle w:val="Infotext"/>
              <w:spacing w:after="240"/>
              <w:rPr>
                <w:rFonts w:ascii="Arial Black" w:hAnsi="Arial Black" w:cs="Arial"/>
              </w:rPr>
            </w:pPr>
            <w:r w:rsidRPr="00421447">
              <w:rPr>
                <w:rFonts w:ascii="Arial Black" w:hAnsi="Arial Black" w:cs="Arial"/>
                <w:b/>
                <w:bCs/>
              </w:rPr>
              <w:t>Date of Meeting</w:t>
            </w:r>
            <w:r w:rsidRPr="00421447">
              <w:rPr>
                <w:rFonts w:ascii="Arial Black" w:hAnsi="Arial Black" w:cs="Arial"/>
              </w:rPr>
              <w:t>:</w:t>
            </w:r>
          </w:p>
        </w:tc>
        <w:tc>
          <w:tcPr>
            <w:tcW w:w="5054" w:type="dxa"/>
            <w:tcBorders>
              <w:top w:val="single" w:sz="18" w:space="0" w:color="auto"/>
            </w:tcBorders>
          </w:tcPr>
          <w:p w14:paraId="72FCD075" w14:textId="7079D915" w:rsidR="00333FAA" w:rsidRPr="00B90BA1" w:rsidRDefault="00D719F5" w:rsidP="6EBD3728">
            <w:pPr>
              <w:rPr>
                <w:rFonts w:cs="Arial"/>
              </w:rPr>
            </w:pPr>
            <w:r>
              <w:rPr>
                <w:rFonts w:cs="Arial"/>
              </w:rPr>
              <w:t>15</w:t>
            </w:r>
            <w:r w:rsidR="004C0724">
              <w:rPr>
                <w:rFonts w:cs="Arial"/>
              </w:rPr>
              <w:t xml:space="preserve"> February </w:t>
            </w:r>
            <w:r w:rsidR="00CF354D">
              <w:rPr>
                <w:rFonts w:cs="Arial"/>
              </w:rPr>
              <w:t>2024</w:t>
            </w:r>
          </w:p>
        </w:tc>
      </w:tr>
      <w:tr w:rsidR="00333FAA" w:rsidRPr="00B90BA1" w14:paraId="3CC97725" w14:textId="77777777" w:rsidTr="6EBD3728">
        <w:tc>
          <w:tcPr>
            <w:tcW w:w="3456" w:type="dxa"/>
          </w:tcPr>
          <w:p w14:paraId="18BB8951" w14:textId="77777777" w:rsidR="00333FAA" w:rsidRPr="00421447" w:rsidRDefault="00333FAA" w:rsidP="00C869F3">
            <w:pPr>
              <w:pStyle w:val="Infotext"/>
              <w:spacing w:after="240"/>
              <w:rPr>
                <w:rFonts w:ascii="Arial Black" w:hAnsi="Arial Black" w:cs="Arial"/>
                <w:b/>
                <w:bCs/>
              </w:rPr>
            </w:pPr>
            <w:r w:rsidRPr="00421447">
              <w:rPr>
                <w:rFonts w:ascii="Arial Black" w:hAnsi="Arial Black" w:cs="Arial"/>
                <w:b/>
                <w:bCs/>
              </w:rPr>
              <w:t>Subject:</w:t>
            </w:r>
          </w:p>
        </w:tc>
        <w:tc>
          <w:tcPr>
            <w:tcW w:w="5054" w:type="dxa"/>
          </w:tcPr>
          <w:p w14:paraId="679B10FE" w14:textId="017B808E" w:rsidR="009D1C16" w:rsidRPr="009D1C16" w:rsidRDefault="6AC872F0" w:rsidP="009D1C16">
            <w:r w:rsidRPr="009D1C16">
              <w:t xml:space="preserve">Disposal of </w:t>
            </w:r>
            <w:r w:rsidR="005C4E53" w:rsidRPr="009D1C16">
              <w:t>a</w:t>
            </w:r>
            <w:r w:rsidR="2C496657" w:rsidRPr="009D1C16">
              <w:t xml:space="preserve"> </w:t>
            </w:r>
            <w:r w:rsidR="378460EF" w:rsidRPr="009D1C16">
              <w:t xml:space="preserve">freehold </w:t>
            </w:r>
            <w:r w:rsidR="7EBBE768" w:rsidRPr="009D1C16">
              <w:t xml:space="preserve">council </w:t>
            </w:r>
            <w:r w:rsidR="2BCBF0D2" w:rsidRPr="009D1C16">
              <w:t>interest</w:t>
            </w:r>
            <w:r w:rsidR="008231F1" w:rsidRPr="009D1C16">
              <w:t>:</w:t>
            </w:r>
            <w:r w:rsidR="2FD3EE86" w:rsidRPr="009D1C16">
              <w:t xml:space="preserve"> </w:t>
            </w:r>
            <w:r w:rsidR="009D1C16" w:rsidRPr="009D1C16">
              <w:fldChar w:fldCharType="begin"/>
            </w:r>
            <w:r w:rsidR="009D1C16" w:rsidRPr="009D1C16">
              <w:instrText xml:space="preserve"> HYPERLINK "https://www.192.com/address/details/harrow/ha3+7lh/vernon+lodge+654/" </w:instrText>
            </w:r>
            <w:r w:rsidR="009D1C16" w:rsidRPr="009D1C16">
              <w:fldChar w:fldCharType="separate"/>
            </w:r>
            <w:r w:rsidR="009D1C16" w:rsidRPr="009D1C16">
              <w:t>Vernon Lodge, 654, Kenton Lane, Harrow, Middlesex, HA3 7LH</w:t>
            </w:r>
          </w:p>
          <w:p w14:paraId="509A4B69" w14:textId="42E7C547" w:rsidR="00333FAA" w:rsidRPr="009D1C16" w:rsidRDefault="009D1C16" w:rsidP="009D1C16">
            <w:r w:rsidRPr="009D1C16">
              <w:fldChar w:fldCharType="end"/>
            </w:r>
          </w:p>
          <w:p w14:paraId="6D8FB2C1" w14:textId="6C9EC062" w:rsidR="00333FAA" w:rsidRPr="009D1C16" w:rsidRDefault="6AC872F0" w:rsidP="77A817D7">
            <w:r>
              <w:t xml:space="preserve"> </w:t>
            </w:r>
          </w:p>
        </w:tc>
      </w:tr>
      <w:tr w:rsidR="00333FAA" w:rsidRPr="00B90BA1" w14:paraId="32449166" w14:textId="77777777" w:rsidTr="6EBD3728">
        <w:tc>
          <w:tcPr>
            <w:tcW w:w="3456" w:type="dxa"/>
          </w:tcPr>
          <w:p w14:paraId="17ECA8FA" w14:textId="77777777" w:rsidR="00333FAA" w:rsidRPr="00421447" w:rsidRDefault="00333FAA" w:rsidP="00C869F3">
            <w:pPr>
              <w:pStyle w:val="Infotext"/>
              <w:spacing w:after="240"/>
              <w:rPr>
                <w:rFonts w:ascii="Arial Black" w:hAnsi="Arial Black" w:cs="Arial"/>
                <w:b/>
                <w:bCs/>
              </w:rPr>
            </w:pPr>
            <w:r w:rsidRPr="00421447">
              <w:rPr>
                <w:rFonts w:ascii="Arial Black" w:hAnsi="Arial Black" w:cs="Arial"/>
                <w:b/>
                <w:bCs/>
              </w:rPr>
              <w:t>Key Decision:</w:t>
            </w:r>
          </w:p>
        </w:tc>
        <w:tc>
          <w:tcPr>
            <w:tcW w:w="5054" w:type="dxa"/>
          </w:tcPr>
          <w:p w14:paraId="6D1B2CD3" w14:textId="0878569F" w:rsidR="00C26085" w:rsidRPr="00B90BA1" w:rsidRDefault="1847EBA4" w:rsidP="00C26085">
            <w:pPr>
              <w:pStyle w:val="Infotext"/>
              <w:rPr>
                <w:rFonts w:cs="Arial"/>
                <w:sz w:val="24"/>
                <w:szCs w:val="24"/>
              </w:rPr>
            </w:pPr>
            <w:r w:rsidRPr="77A817D7">
              <w:rPr>
                <w:rFonts w:cs="Arial"/>
                <w:sz w:val="24"/>
                <w:szCs w:val="24"/>
              </w:rPr>
              <w:t xml:space="preserve">Yes </w:t>
            </w:r>
          </w:p>
          <w:p w14:paraId="24F0F49B" w14:textId="203307B1" w:rsidR="001C7E35" w:rsidRPr="00B90BA1" w:rsidRDefault="001C7E35" w:rsidP="001C7E35">
            <w:pPr>
              <w:pStyle w:val="Infotext"/>
              <w:rPr>
                <w:rFonts w:cs="Arial"/>
                <w:sz w:val="24"/>
                <w:szCs w:val="24"/>
              </w:rPr>
            </w:pPr>
          </w:p>
          <w:p w14:paraId="3EADF2B3" w14:textId="77777777" w:rsidR="00333FAA" w:rsidRPr="00B90BA1" w:rsidRDefault="00333FAA" w:rsidP="00C26085">
            <w:pPr>
              <w:pStyle w:val="Infotext"/>
              <w:rPr>
                <w:rFonts w:cs="Arial"/>
                <w:szCs w:val="24"/>
              </w:rPr>
            </w:pPr>
          </w:p>
        </w:tc>
      </w:tr>
      <w:tr w:rsidR="001C7E35" w:rsidRPr="00B90BA1" w14:paraId="79E96200" w14:textId="77777777" w:rsidTr="6EBD3728">
        <w:tc>
          <w:tcPr>
            <w:tcW w:w="3456" w:type="dxa"/>
          </w:tcPr>
          <w:p w14:paraId="0B8ABDC4" w14:textId="77777777" w:rsidR="001C7E35" w:rsidRPr="00421447" w:rsidRDefault="001C7E35" w:rsidP="00C869F3">
            <w:pPr>
              <w:pStyle w:val="Infotext"/>
              <w:spacing w:after="240"/>
              <w:rPr>
                <w:rFonts w:ascii="Arial Black" w:hAnsi="Arial Black" w:cs="Arial"/>
                <w:b/>
                <w:bCs/>
              </w:rPr>
            </w:pPr>
            <w:r w:rsidRPr="00421447">
              <w:rPr>
                <w:rFonts w:ascii="Arial Black" w:hAnsi="Arial Black" w:cs="Arial"/>
                <w:b/>
                <w:bCs/>
              </w:rPr>
              <w:t>Responsible Officer:</w:t>
            </w:r>
          </w:p>
        </w:tc>
        <w:tc>
          <w:tcPr>
            <w:tcW w:w="5054" w:type="dxa"/>
          </w:tcPr>
          <w:p w14:paraId="649EB528" w14:textId="6D6D5015" w:rsidR="001C7E35" w:rsidRPr="00B90BA1" w:rsidRDefault="00C26085" w:rsidP="00D835CF">
            <w:pPr>
              <w:pStyle w:val="Infotext"/>
              <w:rPr>
                <w:rFonts w:cs="Arial"/>
                <w:sz w:val="24"/>
                <w:szCs w:val="24"/>
              </w:rPr>
            </w:pPr>
            <w:r w:rsidRPr="00B90BA1">
              <w:rPr>
                <w:rFonts w:cs="Arial"/>
                <w:sz w:val="24"/>
                <w:szCs w:val="24"/>
              </w:rPr>
              <w:t xml:space="preserve">Dipti Patel – </w:t>
            </w:r>
            <w:r w:rsidR="004B411F" w:rsidRPr="00B90BA1">
              <w:rPr>
                <w:rFonts w:cs="Arial"/>
                <w:sz w:val="24"/>
                <w:szCs w:val="24"/>
              </w:rPr>
              <w:t>Corporate</w:t>
            </w:r>
            <w:r w:rsidRPr="00B90BA1">
              <w:rPr>
                <w:rFonts w:cs="Arial"/>
                <w:sz w:val="24"/>
                <w:szCs w:val="24"/>
              </w:rPr>
              <w:t xml:space="preserve"> </w:t>
            </w:r>
            <w:r w:rsidR="004B411F" w:rsidRPr="00B90BA1">
              <w:rPr>
                <w:rFonts w:cs="Arial"/>
                <w:sz w:val="24"/>
                <w:szCs w:val="24"/>
              </w:rPr>
              <w:t>Director</w:t>
            </w:r>
            <w:r w:rsidRPr="00B90BA1">
              <w:rPr>
                <w:rFonts w:cs="Arial"/>
                <w:sz w:val="24"/>
                <w:szCs w:val="24"/>
              </w:rPr>
              <w:t xml:space="preserve"> Place</w:t>
            </w:r>
          </w:p>
          <w:p w14:paraId="3798BF23" w14:textId="77777777" w:rsidR="001C7E35" w:rsidRPr="00B90BA1" w:rsidRDefault="001C7E35" w:rsidP="00D835CF">
            <w:pPr>
              <w:pStyle w:val="Infotext"/>
              <w:rPr>
                <w:rFonts w:cs="Arial"/>
                <w:sz w:val="24"/>
                <w:szCs w:val="24"/>
              </w:rPr>
            </w:pPr>
          </w:p>
        </w:tc>
      </w:tr>
      <w:tr w:rsidR="001C7E35" w:rsidRPr="00B90BA1" w14:paraId="3B6FD8B1" w14:textId="77777777" w:rsidTr="6EBD3728">
        <w:tc>
          <w:tcPr>
            <w:tcW w:w="3456" w:type="dxa"/>
          </w:tcPr>
          <w:p w14:paraId="0961945D" w14:textId="77777777" w:rsidR="001C7E35" w:rsidRPr="00421447" w:rsidRDefault="001C7E35" w:rsidP="00C869F3">
            <w:pPr>
              <w:pStyle w:val="Infotext"/>
              <w:spacing w:after="240"/>
              <w:rPr>
                <w:rFonts w:ascii="Arial Black" w:hAnsi="Arial Black" w:cs="Arial"/>
                <w:b/>
                <w:bCs/>
              </w:rPr>
            </w:pPr>
            <w:r w:rsidRPr="00421447">
              <w:rPr>
                <w:rFonts w:ascii="Arial Black" w:hAnsi="Arial Black" w:cs="Arial"/>
                <w:b/>
                <w:bCs/>
              </w:rPr>
              <w:t>Portfolio Holder:</w:t>
            </w:r>
          </w:p>
        </w:tc>
        <w:tc>
          <w:tcPr>
            <w:tcW w:w="5054" w:type="dxa"/>
          </w:tcPr>
          <w:p w14:paraId="39A9A01A" w14:textId="2B923CF1" w:rsidR="001C7E35" w:rsidRPr="00B90BA1" w:rsidRDefault="00C26085" w:rsidP="00D835CF">
            <w:pPr>
              <w:pStyle w:val="Infotext"/>
              <w:rPr>
                <w:rFonts w:cs="Arial"/>
                <w:color w:val="FF0000"/>
                <w:sz w:val="24"/>
                <w:szCs w:val="24"/>
              </w:rPr>
            </w:pPr>
            <w:r w:rsidRPr="004B411F">
              <w:rPr>
                <w:rFonts w:cs="Arial"/>
                <w:sz w:val="24"/>
                <w:szCs w:val="24"/>
              </w:rPr>
              <w:t>Cllr Norman Stevenson - Portfolio Holder for Business, Employment &amp; Property</w:t>
            </w:r>
            <w:r w:rsidR="005E0125">
              <w:rPr>
                <w:rFonts w:cs="Arial"/>
                <w:sz w:val="24"/>
                <w:szCs w:val="24"/>
              </w:rPr>
              <w:t xml:space="preserve">; </w:t>
            </w:r>
            <w:r>
              <w:br/>
            </w:r>
            <w:r w:rsidR="005E0125">
              <w:rPr>
                <w:rFonts w:cs="Arial"/>
                <w:sz w:val="24"/>
                <w:szCs w:val="24"/>
              </w:rPr>
              <w:t>Cllr David Ashton</w:t>
            </w:r>
            <w:r w:rsidR="007B2536">
              <w:rPr>
                <w:rFonts w:cs="Arial"/>
                <w:sz w:val="24"/>
                <w:szCs w:val="24"/>
              </w:rPr>
              <w:t xml:space="preserve"> - </w:t>
            </w:r>
            <w:r w:rsidR="007B2536" w:rsidRPr="007B2536">
              <w:rPr>
                <w:rFonts w:cs="Arial"/>
                <w:sz w:val="24"/>
                <w:szCs w:val="24"/>
              </w:rPr>
              <w:t>Portfolio Holder for Finance &amp; Human Resources.</w:t>
            </w:r>
          </w:p>
        </w:tc>
      </w:tr>
      <w:tr w:rsidR="001C7E35" w:rsidRPr="00B90BA1" w14:paraId="3CF618C8" w14:textId="77777777" w:rsidTr="6EBD3728">
        <w:tc>
          <w:tcPr>
            <w:tcW w:w="3456" w:type="dxa"/>
          </w:tcPr>
          <w:p w14:paraId="067159B6" w14:textId="77777777" w:rsidR="00A207DB" w:rsidRPr="00421447" w:rsidRDefault="00A207DB" w:rsidP="00405CA6">
            <w:pPr>
              <w:pStyle w:val="Infotext"/>
              <w:spacing w:after="240"/>
              <w:rPr>
                <w:rFonts w:ascii="Arial Black" w:hAnsi="Arial Black" w:cs="Arial"/>
                <w:b/>
                <w:bCs/>
              </w:rPr>
            </w:pPr>
          </w:p>
          <w:p w14:paraId="4CD8D092" w14:textId="5D5E51B4" w:rsidR="001C7E35" w:rsidRPr="00421447" w:rsidRDefault="001C7E35" w:rsidP="00405CA6">
            <w:pPr>
              <w:pStyle w:val="Infotext"/>
              <w:spacing w:after="240"/>
              <w:rPr>
                <w:rFonts w:ascii="Arial Black" w:hAnsi="Arial Black" w:cs="Arial"/>
                <w:b/>
                <w:bCs/>
                <w:sz w:val="24"/>
                <w:szCs w:val="24"/>
              </w:rPr>
            </w:pPr>
            <w:r w:rsidRPr="00421447">
              <w:rPr>
                <w:rFonts w:ascii="Arial Black" w:hAnsi="Arial Black" w:cs="Arial"/>
                <w:b/>
                <w:bCs/>
              </w:rPr>
              <w:t>Exempt</w:t>
            </w:r>
            <w:r w:rsidRPr="00421447">
              <w:rPr>
                <w:rFonts w:ascii="Arial Black" w:hAnsi="Arial Black" w:cs="Arial"/>
                <w:b/>
                <w:bCs/>
                <w:sz w:val="24"/>
                <w:szCs w:val="24"/>
              </w:rPr>
              <w:t>:</w:t>
            </w:r>
          </w:p>
        </w:tc>
        <w:tc>
          <w:tcPr>
            <w:tcW w:w="5054" w:type="dxa"/>
          </w:tcPr>
          <w:p w14:paraId="6E1F8552" w14:textId="77777777" w:rsidR="00A207DB" w:rsidRDefault="00A207DB" w:rsidP="77A817D7">
            <w:pPr>
              <w:pStyle w:val="Infotext"/>
              <w:rPr>
                <w:rFonts w:cs="Arial"/>
                <w:sz w:val="24"/>
                <w:szCs w:val="24"/>
              </w:rPr>
            </w:pPr>
          </w:p>
          <w:p w14:paraId="3AE6F893" w14:textId="77777777" w:rsidR="00A207DB" w:rsidRDefault="00A207DB" w:rsidP="77A817D7">
            <w:pPr>
              <w:pStyle w:val="Infotext"/>
              <w:rPr>
                <w:rFonts w:cs="Arial"/>
                <w:sz w:val="24"/>
                <w:szCs w:val="24"/>
              </w:rPr>
            </w:pPr>
          </w:p>
          <w:p w14:paraId="755E47D1" w14:textId="1817286B" w:rsidR="001C7E35" w:rsidRPr="003D5927" w:rsidRDefault="1CC787C5" w:rsidP="00063BF3">
            <w:pPr>
              <w:pStyle w:val="Infotext"/>
              <w:rPr>
                <w:rFonts w:cs="Arial"/>
                <w:sz w:val="24"/>
                <w:szCs w:val="24"/>
              </w:rPr>
            </w:pPr>
            <w:r w:rsidRPr="3DFA941F">
              <w:rPr>
                <w:rFonts w:cs="Arial"/>
                <w:sz w:val="24"/>
                <w:szCs w:val="24"/>
              </w:rPr>
              <w:t>P</w:t>
            </w:r>
            <w:r w:rsidR="4508B741" w:rsidRPr="3DFA941F">
              <w:rPr>
                <w:rFonts w:cs="Arial"/>
                <w:sz w:val="24"/>
                <w:szCs w:val="24"/>
              </w:rPr>
              <w:t>ublic with</w:t>
            </w:r>
            <w:r w:rsidRPr="77A817D7">
              <w:rPr>
                <w:rFonts w:cs="Arial"/>
                <w:sz w:val="24"/>
                <w:szCs w:val="24"/>
              </w:rPr>
              <w:t xml:space="preserve"> exempt Appendix </w:t>
            </w:r>
            <w:r w:rsidR="000F4D66">
              <w:rPr>
                <w:rFonts w:cs="Arial"/>
                <w:sz w:val="24"/>
                <w:szCs w:val="24"/>
              </w:rPr>
              <w:t>1</w:t>
            </w:r>
            <w:r w:rsidRPr="3DFA941F">
              <w:rPr>
                <w:rFonts w:cs="Arial"/>
                <w:sz w:val="24"/>
                <w:szCs w:val="24"/>
              </w:rPr>
              <w:t xml:space="preserve"> </w:t>
            </w:r>
            <w:r w:rsidR="00063BF3">
              <w:rPr>
                <w:rFonts w:cs="Arial"/>
                <w:sz w:val="24"/>
                <w:szCs w:val="24"/>
              </w:rPr>
              <w:t xml:space="preserve">in that it contains exempt information by virtue of Paragraph 3 of Schedule 12A to the Local Government Act 1972 as it </w:t>
            </w:r>
            <w:r w:rsidRPr="77A817D7">
              <w:rPr>
                <w:rFonts w:cs="Arial"/>
                <w:sz w:val="24"/>
                <w:szCs w:val="24"/>
              </w:rPr>
              <w:t>contains information relating to the financial or business affairs of the Council</w:t>
            </w:r>
            <w:r w:rsidR="7A7B08C4" w:rsidRPr="77A817D7">
              <w:rPr>
                <w:rFonts w:cs="Arial"/>
                <w:sz w:val="24"/>
                <w:szCs w:val="24"/>
              </w:rPr>
              <w:t xml:space="preserve"> </w:t>
            </w:r>
          </w:p>
        </w:tc>
      </w:tr>
      <w:tr w:rsidR="001C7E35" w:rsidRPr="00B90BA1" w14:paraId="577CD75A" w14:textId="77777777" w:rsidTr="6EBD3728">
        <w:tc>
          <w:tcPr>
            <w:tcW w:w="3456" w:type="dxa"/>
          </w:tcPr>
          <w:p w14:paraId="4821943C" w14:textId="276F9F77" w:rsidR="001C7E35" w:rsidRPr="00367A79" w:rsidRDefault="001C7E35" w:rsidP="00C869F3">
            <w:pPr>
              <w:pStyle w:val="Infotext"/>
              <w:spacing w:after="240"/>
              <w:rPr>
                <w:rFonts w:ascii="Arial Black" w:hAnsi="Arial Black" w:cs="Arial"/>
                <w:b/>
                <w:bCs/>
              </w:rPr>
            </w:pPr>
            <w:r w:rsidRPr="00367A79">
              <w:rPr>
                <w:rFonts w:ascii="Arial Black" w:hAnsi="Arial Black" w:cs="Arial"/>
                <w:b/>
                <w:bCs/>
              </w:rPr>
              <w:t>Decision subject to Call-in:</w:t>
            </w:r>
          </w:p>
        </w:tc>
        <w:tc>
          <w:tcPr>
            <w:tcW w:w="5054" w:type="dxa"/>
          </w:tcPr>
          <w:p w14:paraId="3A75E271" w14:textId="5716CCBA" w:rsidR="00714BEE" w:rsidRPr="00B90BA1" w:rsidRDefault="001C7E35" w:rsidP="00C26085">
            <w:pPr>
              <w:pStyle w:val="Infotext"/>
              <w:rPr>
                <w:rFonts w:cs="Arial"/>
                <w:szCs w:val="24"/>
              </w:rPr>
            </w:pPr>
            <w:r w:rsidRPr="00B90BA1">
              <w:rPr>
                <w:rFonts w:cs="Arial"/>
                <w:sz w:val="24"/>
                <w:szCs w:val="24"/>
              </w:rPr>
              <w:t xml:space="preserve">Yes </w:t>
            </w:r>
          </w:p>
        </w:tc>
      </w:tr>
      <w:tr w:rsidR="001C7E35" w:rsidRPr="00B90BA1" w14:paraId="7E5497E1" w14:textId="77777777" w:rsidTr="6EBD3728">
        <w:tc>
          <w:tcPr>
            <w:tcW w:w="3456" w:type="dxa"/>
          </w:tcPr>
          <w:p w14:paraId="6B5E6A6A" w14:textId="77777777" w:rsidR="001C7E35" w:rsidRPr="00367A79" w:rsidRDefault="001C7E35" w:rsidP="00C869F3">
            <w:pPr>
              <w:pStyle w:val="Infotext"/>
              <w:spacing w:after="240"/>
              <w:rPr>
                <w:rFonts w:ascii="Arial Black" w:hAnsi="Arial Black" w:cs="Arial"/>
                <w:b/>
                <w:bCs/>
              </w:rPr>
            </w:pPr>
            <w:r w:rsidRPr="00367A79">
              <w:rPr>
                <w:rFonts w:ascii="Arial Black" w:hAnsi="Arial Black" w:cs="Arial"/>
                <w:b/>
                <w:bCs/>
              </w:rPr>
              <w:t>Wards affected:</w:t>
            </w:r>
          </w:p>
        </w:tc>
        <w:tc>
          <w:tcPr>
            <w:tcW w:w="5054" w:type="dxa"/>
          </w:tcPr>
          <w:p w14:paraId="52E38AE7" w14:textId="471E7D3C" w:rsidR="00307F76" w:rsidRPr="00B90BA1" w:rsidRDefault="009D1C16" w:rsidP="00D835CF">
            <w:pPr>
              <w:rPr>
                <w:rFonts w:cs="Arial"/>
                <w:b/>
                <w:color w:val="FF0000"/>
                <w:szCs w:val="24"/>
              </w:rPr>
            </w:pPr>
            <w:r>
              <w:rPr>
                <w:rFonts w:cs="Arial"/>
                <w:szCs w:val="24"/>
              </w:rPr>
              <w:t>Belmont</w:t>
            </w:r>
            <w:r w:rsidR="0064146F">
              <w:rPr>
                <w:rFonts w:cs="Arial"/>
                <w:szCs w:val="24"/>
              </w:rPr>
              <w:t xml:space="preserve"> </w:t>
            </w:r>
            <w:r w:rsidR="000B5673">
              <w:rPr>
                <w:rFonts w:cs="Arial"/>
                <w:szCs w:val="24"/>
              </w:rPr>
              <w:t xml:space="preserve"> </w:t>
            </w:r>
          </w:p>
        </w:tc>
      </w:tr>
      <w:tr w:rsidR="001C7E35" w:rsidRPr="00B90BA1" w14:paraId="5F1445BF" w14:textId="77777777" w:rsidTr="6EBD3728">
        <w:tc>
          <w:tcPr>
            <w:tcW w:w="3456" w:type="dxa"/>
          </w:tcPr>
          <w:p w14:paraId="0E539C63" w14:textId="77777777" w:rsidR="001C7E35" w:rsidRPr="00367A79" w:rsidRDefault="001C7E35" w:rsidP="00C869F3">
            <w:pPr>
              <w:pStyle w:val="Infotext"/>
              <w:spacing w:after="240"/>
              <w:rPr>
                <w:rFonts w:ascii="Arial Black" w:hAnsi="Arial Black" w:cs="Arial"/>
                <w:b/>
                <w:bCs/>
              </w:rPr>
            </w:pPr>
            <w:r w:rsidRPr="00367A79">
              <w:rPr>
                <w:rFonts w:ascii="Arial Black" w:hAnsi="Arial Black" w:cs="Arial"/>
                <w:b/>
                <w:bCs/>
              </w:rPr>
              <w:t>Enclosures:</w:t>
            </w:r>
          </w:p>
        </w:tc>
        <w:tc>
          <w:tcPr>
            <w:tcW w:w="5054" w:type="dxa"/>
          </w:tcPr>
          <w:p w14:paraId="6668D730" w14:textId="6A298BDF" w:rsidR="001C7E35" w:rsidRPr="00FF67CD" w:rsidRDefault="00FF67CD" w:rsidP="00DB6C3D">
            <w:pPr>
              <w:pStyle w:val="Infotext"/>
              <w:rPr>
                <w:rFonts w:cs="Arial"/>
                <w:sz w:val="24"/>
                <w:szCs w:val="24"/>
              </w:rPr>
            </w:pPr>
            <w:r w:rsidRPr="00FF67CD">
              <w:rPr>
                <w:rFonts w:cs="Arial"/>
                <w:sz w:val="24"/>
                <w:szCs w:val="24"/>
              </w:rPr>
              <w:t xml:space="preserve">Appendix </w:t>
            </w:r>
            <w:r w:rsidR="000F4D66">
              <w:rPr>
                <w:rFonts w:cs="Arial"/>
                <w:sz w:val="24"/>
                <w:szCs w:val="24"/>
              </w:rPr>
              <w:t>1 (exempt)</w:t>
            </w:r>
          </w:p>
        </w:tc>
      </w:tr>
    </w:tbl>
    <w:p w14:paraId="27C48D26" w14:textId="0EC6D27C" w:rsidR="00333FAA" w:rsidRDefault="00333FAA" w:rsidP="00C869F3">
      <w:pPr>
        <w:spacing w:after="480"/>
        <w:rPr>
          <w:rFonts w:cs="Arial"/>
        </w:rPr>
      </w:pPr>
    </w:p>
    <w:p w14:paraId="7C859212" w14:textId="610CB668" w:rsidR="000B5673" w:rsidRDefault="000B5673" w:rsidP="00C869F3">
      <w:pPr>
        <w:spacing w:after="480"/>
        <w:rPr>
          <w:rFonts w:cs="Arial"/>
        </w:rPr>
      </w:pPr>
    </w:p>
    <w:p w14:paraId="3FBE95DD" w14:textId="698229FD" w:rsidR="000B5673" w:rsidRDefault="000B5673" w:rsidP="00C869F3">
      <w:pPr>
        <w:spacing w:after="480"/>
        <w:rPr>
          <w:rFonts w:cs="Arial"/>
        </w:rPr>
      </w:pPr>
    </w:p>
    <w:p w14:paraId="4191BB2F" w14:textId="77777777" w:rsidR="000B5673" w:rsidRDefault="000B5673"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rsidRPr="00B90BA1" w14:paraId="39320826" w14:textId="77777777" w:rsidTr="00367A79">
        <w:trPr>
          <w:tblHeader/>
        </w:trPr>
        <w:tc>
          <w:tcPr>
            <w:tcW w:w="8309" w:type="dxa"/>
            <w:tcBorders>
              <w:top w:val="nil"/>
              <w:left w:val="nil"/>
              <w:right w:val="nil"/>
            </w:tcBorders>
          </w:tcPr>
          <w:p w14:paraId="3A67BFB3" w14:textId="77777777" w:rsidR="00333FAA" w:rsidRPr="00367A79" w:rsidRDefault="00333FAA" w:rsidP="00605A4C">
            <w:pPr>
              <w:pStyle w:val="Heading2"/>
              <w:spacing w:after="240"/>
            </w:pPr>
            <w:r w:rsidRPr="00367A79">
              <w:lastRenderedPageBreak/>
              <w:t>Section 1 – Summary and Recommendations</w:t>
            </w:r>
          </w:p>
        </w:tc>
      </w:tr>
      <w:tr w:rsidR="00333FAA" w:rsidRPr="00B90BA1" w14:paraId="5D78E563" w14:textId="77777777" w:rsidTr="00367A79">
        <w:trPr>
          <w:tblHeader/>
        </w:trPr>
        <w:tc>
          <w:tcPr>
            <w:tcW w:w="8309" w:type="dxa"/>
          </w:tcPr>
          <w:p w14:paraId="3D11BD38" w14:textId="6A8BB2A4" w:rsidR="009D1C16" w:rsidRPr="00B52A7F" w:rsidRDefault="0046386A" w:rsidP="009D1C16">
            <w:pPr>
              <w:pStyle w:val="ListParagraph"/>
              <w:numPr>
                <w:ilvl w:val="0"/>
                <w:numId w:val="16"/>
              </w:numPr>
              <w:rPr>
                <w:rFonts w:cs="Arial"/>
                <w:color w:val="000000" w:themeColor="text1"/>
                <w:szCs w:val="24"/>
                <w:shd w:val="clear" w:color="auto" w:fill="FFFFFF"/>
              </w:rPr>
            </w:pPr>
            <w:r>
              <w:t>This report recommends the sale of</w:t>
            </w:r>
            <w:r w:rsidR="009F637A">
              <w:t xml:space="preserve"> the </w:t>
            </w:r>
            <w:r>
              <w:t xml:space="preserve">freehold </w:t>
            </w:r>
            <w:r w:rsidR="493619CC">
              <w:t>interest</w:t>
            </w:r>
            <w:r>
              <w:t xml:space="preserve"> at</w:t>
            </w:r>
            <w:r w:rsidR="00367A79">
              <w:t xml:space="preserve"> </w:t>
            </w:r>
            <w:r w:rsidR="009D1C16" w:rsidRPr="3DFA941F">
              <w:rPr>
                <w:color w:val="000000" w:themeColor="text1"/>
                <w:szCs w:val="24"/>
              </w:rPr>
              <w:fldChar w:fldCharType="begin"/>
            </w:r>
            <w:r w:rsidR="009D1C16" w:rsidRPr="00B52A7F">
              <w:rPr>
                <w:color w:val="000000" w:themeColor="text1"/>
                <w:szCs w:val="24"/>
              </w:rPr>
              <w:instrText xml:space="preserve"> HYPERLINK "https://www.192.com/address/details/harrow/ha3+7lh/vernon+lodge+654/" </w:instrText>
            </w:r>
            <w:r w:rsidR="009D1C16" w:rsidRPr="3DFA941F">
              <w:rPr>
                <w:color w:val="000000" w:themeColor="text1"/>
                <w:szCs w:val="24"/>
              </w:rPr>
            </w:r>
            <w:r w:rsidR="009D1C16" w:rsidRPr="3DFA941F">
              <w:rPr>
                <w:color w:val="000000" w:themeColor="text1"/>
                <w:szCs w:val="24"/>
              </w:rPr>
              <w:fldChar w:fldCharType="separate"/>
            </w:r>
            <w:r w:rsidR="009D1C16" w:rsidRPr="00B52A7F">
              <w:rPr>
                <w:color w:val="000000" w:themeColor="text1"/>
                <w:szCs w:val="24"/>
                <w:shd w:val="clear" w:color="auto" w:fill="FFFFFF"/>
              </w:rPr>
              <w:t>Vernon Lodge, 654, Kenton Lane, Harrow, Middlesex, HA3 7LH</w:t>
            </w:r>
            <w:r w:rsidR="004B42FB">
              <w:rPr>
                <w:color w:val="000000" w:themeColor="text1"/>
                <w:szCs w:val="24"/>
                <w:shd w:val="clear" w:color="auto" w:fill="FFFFFF"/>
              </w:rPr>
              <w:t xml:space="preserve"> (“the property”)</w:t>
            </w:r>
          </w:p>
          <w:p w14:paraId="25B699AB" w14:textId="6C94EB74" w:rsidR="0046386A" w:rsidRPr="00B52A7F" w:rsidRDefault="009D1C16" w:rsidP="009D1C16">
            <w:pPr>
              <w:pStyle w:val="ListParagraph"/>
              <w:shd w:val="clear" w:color="auto" w:fill="FFFFFF"/>
              <w:rPr>
                <w:color w:val="000000" w:themeColor="text1"/>
                <w:szCs w:val="24"/>
              </w:rPr>
            </w:pPr>
            <w:r w:rsidRPr="3DFA941F">
              <w:rPr>
                <w:color w:val="000000" w:themeColor="text1"/>
              </w:rPr>
              <w:fldChar w:fldCharType="end"/>
            </w:r>
          </w:p>
          <w:p w14:paraId="21D32F17" w14:textId="301B617F" w:rsidR="00F60F8E" w:rsidRPr="00C33401" w:rsidRDefault="72A19CD1" w:rsidP="003D5927">
            <w:r w:rsidRPr="3DFA941F">
              <w:rPr>
                <w:color w:val="000000" w:themeColor="text1"/>
              </w:rPr>
              <w:t xml:space="preserve">The </w:t>
            </w:r>
            <w:r w:rsidR="01679C87" w:rsidRPr="3DFA941F">
              <w:rPr>
                <w:color w:val="000000" w:themeColor="text1"/>
              </w:rPr>
              <w:t>property is vacant and</w:t>
            </w:r>
            <w:r w:rsidR="00F2364A" w:rsidRPr="3DFA941F">
              <w:rPr>
                <w:color w:val="000000" w:themeColor="text1"/>
              </w:rPr>
              <w:t xml:space="preserve"> </w:t>
            </w:r>
            <w:r w:rsidR="009D1C16" w:rsidRPr="3DFA941F">
              <w:rPr>
                <w:color w:val="000000" w:themeColor="text1"/>
              </w:rPr>
              <w:t>has</w:t>
            </w:r>
            <w:r w:rsidR="00871197" w:rsidRPr="00B52A7F">
              <w:rPr>
                <w:color w:val="000000" w:themeColor="text1"/>
              </w:rPr>
              <w:t xml:space="preserve"> been identified as being surplus </w:t>
            </w:r>
            <w:r w:rsidR="00871197">
              <w:t>to the Council’s service ne</w:t>
            </w:r>
            <w:r w:rsidR="000B5673">
              <w:t>eds. The costs of brin</w:t>
            </w:r>
            <w:r w:rsidR="003D5927">
              <w:t>g</w:t>
            </w:r>
            <w:r w:rsidR="000B5673">
              <w:t xml:space="preserve">ing the </w:t>
            </w:r>
            <w:r w:rsidR="0092421F">
              <w:t>property</w:t>
            </w:r>
            <w:r w:rsidR="000B5673">
              <w:t xml:space="preserve"> back into use </w:t>
            </w:r>
            <w:r w:rsidR="009D1C16">
              <w:t>is</w:t>
            </w:r>
            <w:r w:rsidR="000B5673">
              <w:t xml:space="preserve"> </w:t>
            </w:r>
            <w:r w:rsidR="0064146F">
              <w:t>significant</w:t>
            </w:r>
            <w:r w:rsidR="007477D6">
              <w:t xml:space="preserve">. </w:t>
            </w:r>
            <w:r w:rsidR="006A50D3">
              <w:t>It is</w:t>
            </w:r>
            <w:r w:rsidR="00DB6B37">
              <w:t xml:space="preserve"> no longer economically viable </w:t>
            </w:r>
            <w:r w:rsidR="000B5673">
              <w:t xml:space="preserve">and there </w:t>
            </w:r>
            <w:r w:rsidR="007477D6">
              <w:t>is</w:t>
            </w:r>
            <w:r w:rsidR="000B5673">
              <w:t xml:space="preserve"> no </w:t>
            </w:r>
            <w:r w:rsidR="007477D6">
              <w:t xml:space="preserve">alternative use </w:t>
            </w:r>
            <w:r w:rsidR="000B5673">
              <w:t>identified</w:t>
            </w:r>
            <w:r w:rsidR="00872E16">
              <w:t xml:space="preserve"> at </w:t>
            </w:r>
            <w:r w:rsidR="006F5266">
              <w:t>a lesser cost</w:t>
            </w:r>
            <w:r w:rsidR="000B5673">
              <w:t>.</w:t>
            </w:r>
            <w:r w:rsidR="004B42FB">
              <w:t xml:space="preserve"> Following a formal appropriation to the General Fund, the </w:t>
            </w:r>
            <w:r w:rsidR="00871197">
              <w:t xml:space="preserve">proceeds from the </w:t>
            </w:r>
            <w:r w:rsidR="0092421F">
              <w:t>sale of this property</w:t>
            </w:r>
            <w:r w:rsidR="00871197">
              <w:t xml:space="preserve"> </w:t>
            </w:r>
            <w:r w:rsidR="0064146F">
              <w:t xml:space="preserve">will </w:t>
            </w:r>
            <w:r w:rsidR="00F60F8E">
              <w:t>contribute to the</w:t>
            </w:r>
            <w:r w:rsidR="00EA4BF8">
              <w:t xml:space="preserve"> capital receipt</w:t>
            </w:r>
            <w:r w:rsidR="007477D6">
              <w:t xml:space="preserve"> requirement</w:t>
            </w:r>
            <w:r w:rsidR="00F60F8E">
              <w:t xml:space="preserve"> </w:t>
            </w:r>
            <w:r w:rsidR="00EA4BF8">
              <w:t>in the</w:t>
            </w:r>
            <w:r w:rsidR="00AE69A3">
              <w:t xml:space="preserve"> </w:t>
            </w:r>
            <w:r w:rsidR="006F5266">
              <w:t>three</w:t>
            </w:r>
            <w:r w:rsidR="00AE69A3">
              <w:t xml:space="preserve"> year</w:t>
            </w:r>
            <w:r w:rsidR="00EA4BF8">
              <w:t xml:space="preserve"> </w:t>
            </w:r>
            <w:r w:rsidR="00063BF3">
              <w:t>Medium Term Financial Strategy (</w:t>
            </w:r>
            <w:r w:rsidR="00871197">
              <w:t>MTFS</w:t>
            </w:r>
            <w:r w:rsidR="00063BF3">
              <w:t>)</w:t>
            </w:r>
            <w:r w:rsidR="00AE69A3">
              <w:t xml:space="preserve"> and Capital Programme</w:t>
            </w:r>
            <w:r w:rsidR="00871197" w:rsidRPr="00C33401">
              <w:t xml:space="preserve">. A full </w:t>
            </w:r>
            <w:r w:rsidR="00731909">
              <w:t xml:space="preserve">open </w:t>
            </w:r>
            <w:r w:rsidR="00871197" w:rsidRPr="00C33401">
              <w:t xml:space="preserve">marketing exercise will be undertaken to ensure best value is achieved and the council </w:t>
            </w:r>
            <w:r w:rsidR="000B5673" w:rsidRPr="00C33401">
              <w:t xml:space="preserve">complies with its </w:t>
            </w:r>
            <w:r w:rsidR="0064146F" w:rsidRPr="00C33401">
              <w:t>fiduciary</w:t>
            </w:r>
            <w:r w:rsidR="000B5673" w:rsidRPr="00C33401">
              <w:t xml:space="preserve"> duties. </w:t>
            </w:r>
          </w:p>
          <w:p w14:paraId="5FB78D4A" w14:textId="77777777" w:rsidR="00F60F8E" w:rsidRPr="00C33401" w:rsidRDefault="00F60F8E" w:rsidP="003D5927"/>
          <w:p w14:paraId="02274D72" w14:textId="3DC23D54" w:rsidR="001C7E35" w:rsidRPr="00C33401" w:rsidRDefault="00605A4C" w:rsidP="003D5927">
            <w:r w:rsidRPr="00C33401">
              <w:rPr>
                <w:b/>
                <w:bCs/>
              </w:rPr>
              <w:t>Recommen</w:t>
            </w:r>
            <w:r w:rsidR="001C7E35" w:rsidRPr="00C33401">
              <w:rPr>
                <w:b/>
                <w:bCs/>
              </w:rPr>
              <w:t>dations</w:t>
            </w:r>
            <w:r w:rsidR="001C7E35" w:rsidRPr="00C33401">
              <w:t xml:space="preserve">: </w:t>
            </w:r>
          </w:p>
          <w:p w14:paraId="6FB2904F" w14:textId="092D9993" w:rsidR="00C33401" w:rsidRPr="00E84E7B" w:rsidRDefault="001C7E35" w:rsidP="00C33401">
            <w:pPr>
              <w:rPr>
                <w:rFonts w:cs="Arial"/>
              </w:rPr>
            </w:pPr>
            <w:r w:rsidRPr="00C33401">
              <w:rPr>
                <w:rFonts w:cs="Arial"/>
              </w:rPr>
              <w:t>Cabinet is requested to:</w:t>
            </w:r>
            <w:r w:rsidR="000D7FC2" w:rsidRPr="00C33401">
              <w:rPr>
                <w:rFonts w:cs="Arial"/>
              </w:rPr>
              <w:t xml:space="preserve"> </w:t>
            </w:r>
          </w:p>
          <w:p w14:paraId="052E1764" w14:textId="77777777" w:rsidR="002915F5" w:rsidRDefault="002915F5" w:rsidP="002915F5"/>
          <w:p w14:paraId="5F17182E" w14:textId="3A323033" w:rsidR="00E84E7B" w:rsidRPr="00B2318D" w:rsidRDefault="00E84E7B" w:rsidP="000F4D66">
            <w:pPr>
              <w:pStyle w:val="ListParagraph"/>
              <w:numPr>
                <w:ilvl w:val="0"/>
                <w:numId w:val="18"/>
              </w:numPr>
              <w:rPr>
                <w:rFonts w:cs="Arial"/>
                <w:color w:val="FF0000"/>
              </w:rPr>
            </w:pPr>
            <w:r>
              <w:t xml:space="preserve">Give authority to </w:t>
            </w:r>
            <w:r w:rsidR="00711758">
              <w:t xml:space="preserve">appropriate </w:t>
            </w:r>
            <w:r>
              <w:t xml:space="preserve">the property from the </w:t>
            </w:r>
            <w:r w:rsidR="00711758">
              <w:t>Housing Revenue Account (HRA)</w:t>
            </w:r>
            <w:r>
              <w:t xml:space="preserve"> to the General Fund</w:t>
            </w:r>
            <w:r w:rsidR="00711758">
              <w:t xml:space="preserve"> (GF)</w:t>
            </w:r>
            <w:r>
              <w:t xml:space="preserve">, seeking all necessary </w:t>
            </w:r>
            <w:r w:rsidR="00711758">
              <w:t xml:space="preserve">consents </w:t>
            </w:r>
            <w:r>
              <w:t xml:space="preserve">as required. </w:t>
            </w:r>
          </w:p>
          <w:p w14:paraId="00E449FE" w14:textId="77777777" w:rsidR="00B2318D" w:rsidRPr="00D719F5" w:rsidRDefault="00B2318D" w:rsidP="00B2318D">
            <w:pPr>
              <w:pStyle w:val="ListParagraph"/>
              <w:rPr>
                <w:rFonts w:cs="Arial"/>
                <w:color w:val="FF0000"/>
              </w:rPr>
            </w:pPr>
          </w:p>
          <w:p w14:paraId="42183CE5" w14:textId="23005705" w:rsidR="00555F8F" w:rsidRPr="00B2318D" w:rsidRDefault="00555F8F" w:rsidP="000F4D66">
            <w:pPr>
              <w:pStyle w:val="ListParagraph"/>
              <w:numPr>
                <w:ilvl w:val="0"/>
                <w:numId w:val="18"/>
              </w:numPr>
              <w:rPr>
                <w:rFonts w:cs="Arial"/>
                <w:color w:val="FF0000"/>
              </w:rPr>
            </w:pPr>
            <w:r>
              <w:t xml:space="preserve">Declare </w:t>
            </w:r>
            <w:r w:rsidR="004221DB">
              <w:t>that</w:t>
            </w:r>
            <w:r>
              <w:t xml:space="preserve"> the </w:t>
            </w:r>
            <w:r w:rsidR="0092421F">
              <w:t>property is</w:t>
            </w:r>
            <w:r>
              <w:t xml:space="preserve"> surplus to the Council’s requirements. </w:t>
            </w:r>
          </w:p>
          <w:p w14:paraId="3B8BE9F5" w14:textId="77777777" w:rsidR="00B2318D" w:rsidRPr="00B2318D" w:rsidRDefault="00B2318D" w:rsidP="00B2318D">
            <w:pPr>
              <w:rPr>
                <w:rFonts w:cs="Arial"/>
                <w:color w:val="FF0000"/>
              </w:rPr>
            </w:pPr>
          </w:p>
          <w:p w14:paraId="1A1AD92C" w14:textId="77DC6548" w:rsidR="00591016" w:rsidRPr="00B2318D" w:rsidRDefault="000F4D66" w:rsidP="000F4D66">
            <w:pPr>
              <w:pStyle w:val="ListParagraph"/>
              <w:numPr>
                <w:ilvl w:val="0"/>
                <w:numId w:val="18"/>
              </w:numPr>
              <w:rPr>
                <w:rFonts w:cs="Arial"/>
              </w:rPr>
            </w:pPr>
            <w:r>
              <w:t>Delegate a</w:t>
            </w:r>
            <w:r w:rsidR="1046F5E1">
              <w:t>uthori</w:t>
            </w:r>
            <w:r>
              <w:t xml:space="preserve">ty to </w:t>
            </w:r>
            <w:r w:rsidR="1CC787C5">
              <w:t xml:space="preserve">the </w:t>
            </w:r>
            <w:r w:rsidR="00A432A0">
              <w:t>Corporate</w:t>
            </w:r>
            <w:r w:rsidR="1CC787C5">
              <w:t xml:space="preserve"> Director of Place, </w:t>
            </w:r>
            <w:r w:rsidR="5A6044CE">
              <w:t>following</w:t>
            </w:r>
            <w:r w:rsidR="1CC787C5">
              <w:t xml:space="preserve"> consultation with the </w:t>
            </w:r>
            <w:r w:rsidR="1E175848">
              <w:t>P</w:t>
            </w:r>
            <w:r w:rsidR="1CC787C5">
              <w:t xml:space="preserve">ortfolio </w:t>
            </w:r>
            <w:r w:rsidR="28A69A47">
              <w:t>H</w:t>
            </w:r>
            <w:r w:rsidR="1CC787C5">
              <w:t>older</w:t>
            </w:r>
            <w:r w:rsidR="59A081D1" w:rsidRPr="3DFA941F">
              <w:rPr>
                <w:rFonts w:cs="Arial"/>
              </w:rPr>
              <w:t xml:space="preserve"> for Business, Employment &amp; Property</w:t>
            </w:r>
            <w:r w:rsidR="1CC787C5">
              <w:t>, to</w:t>
            </w:r>
            <w:r w:rsidR="618019A2">
              <w:t xml:space="preserve"> </w:t>
            </w:r>
            <w:r w:rsidR="49719EF1">
              <w:t xml:space="preserve">market the </w:t>
            </w:r>
            <w:r w:rsidR="0092421F">
              <w:t>property</w:t>
            </w:r>
            <w:r w:rsidR="49719EF1">
              <w:t xml:space="preserve">, </w:t>
            </w:r>
            <w:r w:rsidR="449E5BFD">
              <w:t>negotiate</w:t>
            </w:r>
            <w:r w:rsidR="618019A2">
              <w:t xml:space="preserve"> terms and</w:t>
            </w:r>
            <w:r w:rsidR="1CC787C5">
              <w:t xml:space="preserve"> approve the </w:t>
            </w:r>
            <w:r w:rsidR="00A432A0">
              <w:t>final</w:t>
            </w:r>
            <w:r w:rsidR="1CC787C5">
              <w:t xml:space="preserve"> terms of </w:t>
            </w:r>
            <w:r w:rsidR="59ACDBAC">
              <w:t>the</w:t>
            </w:r>
            <w:r w:rsidR="1CC787C5">
              <w:t xml:space="preserve"> </w:t>
            </w:r>
            <w:r w:rsidR="00A432A0">
              <w:t>disposal</w:t>
            </w:r>
            <w:r w:rsidR="00742E24">
              <w:t>,</w:t>
            </w:r>
            <w:r w:rsidR="618019A2">
              <w:t xml:space="preserve"> and to enter into the contract </w:t>
            </w:r>
            <w:r w:rsidR="449E5BFD">
              <w:t>a</w:t>
            </w:r>
            <w:r w:rsidR="618019A2">
              <w:t>nd any associated documentation in connection with the disposal</w:t>
            </w:r>
            <w:r w:rsidR="1834F406">
              <w:t xml:space="preserve">, subject to the sale of </w:t>
            </w:r>
            <w:r w:rsidR="1834F406" w:rsidRPr="00864721">
              <w:t>being on the basis of best consideration reasonably obtainable.</w:t>
            </w:r>
          </w:p>
          <w:p w14:paraId="7D84843B" w14:textId="77777777" w:rsidR="00B2318D" w:rsidRPr="00B2318D" w:rsidRDefault="00B2318D" w:rsidP="00B2318D">
            <w:pPr>
              <w:rPr>
                <w:rFonts w:cs="Arial"/>
              </w:rPr>
            </w:pPr>
          </w:p>
          <w:p w14:paraId="4C0E797D" w14:textId="57C2A2F1" w:rsidR="198A9D3C" w:rsidRPr="00A207DB" w:rsidRDefault="000F4D66" w:rsidP="000F4D66">
            <w:pPr>
              <w:pStyle w:val="ListParagraph"/>
              <w:numPr>
                <w:ilvl w:val="0"/>
                <w:numId w:val="18"/>
              </w:numPr>
            </w:pPr>
            <w:r>
              <w:t xml:space="preserve">Delegate authority to </w:t>
            </w:r>
            <w:r w:rsidR="198A9D3C">
              <w:t xml:space="preserve">the Corporate Director of Place, </w:t>
            </w:r>
            <w:r w:rsidR="62E78C8B">
              <w:t>following</w:t>
            </w:r>
            <w:r w:rsidR="198A9D3C">
              <w:t xml:space="preserve"> consultation with the Portfolio Holder for Business, Employment &amp; Property, to procure specialist age</w:t>
            </w:r>
            <w:r w:rsidR="0092421F">
              <w:t xml:space="preserve">nt or agents </w:t>
            </w:r>
            <w:r w:rsidR="198A9D3C">
              <w:t xml:space="preserve">to market the </w:t>
            </w:r>
            <w:r w:rsidR="0092421F">
              <w:t>property</w:t>
            </w:r>
            <w:r w:rsidR="198A9D3C">
              <w:t xml:space="preserve"> where required.</w:t>
            </w:r>
          </w:p>
          <w:p w14:paraId="130A1D51" w14:textId="094EBDCB" w:rsidR="00591016" w:rsidRPr="00864721" w:rsidRDefault="00591016" w:rsidP="00605A4C">
            <w:pPr>
              <w:rPr>
                <w:rFonts w:cs="Arial"/>
              </w:rPr>
            </w:pPr>
          </w:p>
          <w:p w14:paraId="061365F9" w14:textId="1A2E5C19" w:rsidR="001C7E35" w:rsidRPr="00B90BA1" w:rsidRDefault="00E13BEF" w:rsidP="00E13BEF">
            <w:pPr>
              <w:pStyle w:val="Heading3"/>
              <w:ind w:left="0" w:firstLine="0"/>
              <w:jc w:val="left"/>
              <w:rPr>
                <w:color w:val="FF0000"/>
              </w:rPr>
            </w:pPr>
            <w:r w:rsidRPr="00864721">
              <w:t xml:space="preserve">Reason:  </w:t>
            </w:r>
            <w:r w:rsidR="000B5673" w:rsidRPr="00864721">
              <w:rPr>
                <w:b w:val="0"/>
                <w:bCs w:val="0"/>
                <w:sz w:val="24"/>
                <w:szCs w:val="24"/>
              </w:rPr>
              <w:t>The</w:t>
            </w:r>
            <w:r w:rsidR="00654E02">
              <w:rPr>
                <w:b w:val="0"/>
                <w:bCs w:val="0"/>
                <w:sz w:val="24"/>
                <w:szCs w:val="24"/>
              </w:rPr>
              <w:t xml:space="preserve"> appropriation of the property from the Housing and Revenue Account to the General Fund is recommended as the property is no longer used for housing purposes.  Following on from this</w:t>
            </w:r>
            <w:r w:rsidR="000B5673" w:rsidRPr="00864721">
              <w:rPr>
                <w:b w:val="0"/>
                <w:bCs w:val="0"/>
                <w:sz w:val="24"/>
                <w:szCs w:val="24"/>
              </w:rPr>
              <w:t xml:space="preserve"> disposal</w:t>
            </w:r>
            <w:r w:rsidR="00654E02">
              <w:rPr>
                <w:b w:val="0"/>
                <w:bCs w:val="0"/>
                <w:sz w:val="24"/>
                <w:szCs w:val="24"/>
              </w:rPr>
              <w:t xml:space="preserve"> of the property</w:t>
            </w:r>
            <w:r w:rsidR="006A50D3">
              <w:rPr>
                <w:b w:val="0"/>
                <w:bCs w:val="0"/>
                <w:sz w:val="24"/>
                <w:szCs w:val="24"/>
              </w:rPr>
              <w:t xml:space="preserve"> is</w:t>
            </w:r>
            <w:r w:rsidR="000B5673" w:rsidRPr="00F60F8E">
              <w:rPr>
                <w:b w:val="0"/>
                <w:bCs w:val="0"/>
                <w:sz w:val="24"/>
                <w:szCs w:val="24"/>
              </w:rPr>
              <w:t xml:space="preserve"> recommended as the </w:t>
            </w:r>
            <w:r w:rsidR="0092421F">
              <w:rPr>
                <w:b w:val="0"/>
                <w:bCs w:val="0"/>
                <w:sz w:val="24"/>
                <w:szCs w:val="24"/>
              </w:rPr>
              <w:t>property is</w:t>
            </w:r>
            <w:r w:rsidR="00006CEB">
              <w:rPr>
                <w:b w:val="0"/>
                <w:bCs w:val="0"/>
                <w:sz w:val="24"/>
                <w:szCs w:val="24"/>
              </w:rPr>
              <w:t xml:space="preserve"> </w:t>
            </w:r>
            <w:r w:rsidR="000B5673" w:rsidRPr="00F60F8E">
              <w:rPr>
                <w:b w:val="0"/>
                <w:bCs w:val="0"/>
                <w:sz w:val="24"/>
                <w:szCs w:val="24"/>
              </w:rPr>
              <w:t>deemed surplus to the Council’s service needs</w:t>
            </w:r>
            <w:r w:rsidR="00006CEB">
              <w:rPr>
                <w:b w:val="0"/>
                <w:bCs w:val="0"/>
                <w:sz w:val="24"/>
                <w:szCs w:val="24"/>
              </w:rPr>
              <w:t xml:space="preserve">. </w:t>
            </w:r>
            <w:r w:rsidR="0092421F">
              <w:rPr>
                <w:b w:val="0"/>
                <w:bCs w:val="0"/>
                <w:sz w:val="24"/>
                <w:szCs w:val="24"/>
              </w:rPr>
              <w:t>The</w:t>
            </w:r>
            <w:r w:rsidR="00006CEB">
              <w:rPr>
                <w:b w:val="0"/>
                <w:bCs w:val="0"/>
                <w:sz w:val="24"/>
                <w:szCs w:val="24"/>
              </w:rPr>
              <w:t xml:space="preserve"> sale </w:t>
            </w:r>
            <w:r w:rsidR="000B5673" w:rsidRPr="00F60F8E">
              <w:rPr>
                <w:b w:val="0"/>
                <w:bCs w:val="0"/>
                <w:sz w:val="24"/>
                <w:szCs w:val="24"/>
              </w:rPr>
              <w:t xml:space="preserve">will </w:t>
            </w:r>
            <w:r w:rsidR="007477D6">
              <w:rPr>
                <w:b w:val="0"/>
                <w:bCs w:val="0"/>
                <w:sz w:val="24"/>
                <w:szCs w:val="24"/>
              </w:rPr>
              <w:t xml:space="preserve">reduce the </w:t>
            </w:r>
            <w:r w:rsidR="000B5673" w:rsidRPr="00F60F8E">
              <w:rPr>
                <w:b w:val="0"/>
                <w:bCs w:val="0"/>
                <w:sz w:val="24"/>
                <w:szCs w:val="24"/>
              </w:rPr>
              <w:t xml:space="preserve">ongoing revenue </w:t>
            </w:r>
            <w:r w:rsidR="007477D6">
              <w:rPr>
                <w:b w:val="0"/>
                <w:bCs w:val="0"/>
                <w:sz w:val="24"/>
                <w:szCs w:val="24"/>
              </w:rPr>
              <w:t xml:space="preserve">cost burden </w:t>
            </w:r>
            <w:r w:rsidR="000B5673" w:rsidRPr="00F60F8E">
              <w:rPr>
                <w:b w:val="0"/>
                <w:bCs w:val="0"/>
                <w:sz w:val="24"/>
                <w:szCs w:val="24"/>
              </w:rPr>
              <w:t>as well</w:t>
            </w:r>
            <w:r w:rsidR="007477D6">
              <w:rPr>
                <w:b w:val="0"/>
                <w:bCs w:val="0"/>
                <w:sz w:val="24"/>
                <w:szCs w:val="24"/>
              </w:rPr>
              <w:t xml:space="preserve"> as</w:t>
            </w:r>
            <w:r w:rsidR="000B5673" w:rsidRPr="00F60F8E">
              <w:rPr>
                <w:b w:val="0"/>
                <w:bCs w:val="0"/>
                <w:sz w:val="24"/>
                <w:szCs w:val="24"/>
              </w:rPr>
              <w:t xml:space="preserve"> </w:t>
            </w:r>
            <w:r w:rsidR="0064146F" w:rsidRPr="00F60F8E">
              <w:rPr>
                <w:b w:val="0"/>
                <w:bCs w:val="0"/>
                <w:sz w:val="24"/>
                <w:szCs w:val="24"/>
              </w:rPr>
              <w:t>providing</w:t>
            </w:r>
            <w:r w:rsidR="000B5673" w:rsidRPr="00F60F8E">
              <w:rPr>
                <w:b w:val="0"/>
                <w:bCs w:val="0"/>
                <w:sz w:val="24"/>
                <w:szCs w:val="24"/>
              </w:rPr>
              <w:t xml:space="preserve"> a</w:t>
            </w:r>
            <w:r w:rsidR="00B53244" w:rsidRPr="00F60F8E">
              <w:rPr>
                <w:b w:val="0"/>
                <w:bCs w:val="0"/>
                <w:sz w:val="24"/>
                <w:szCs w:val="24"/>
              </w:rPr>
              <w:t xml:space="preserve"> </w:t>
            </w:r>
            <w:r w:rsidR="000B5673" w:rsidRPr="00F60F8E">
              <w:rPr>
                <w:b w:val="0"/>
                <w:bCs w:val="0"/>
                <w:sz w:val="24"/>
                <w:szCs w:val="24"/>
              </w:rPr>
              <w:t>capital receipt.</w:t>
            </w:r>
            <w:r w:rsidR="000B5673" w:rsidRPr="00F60F8E">
              <w:rPr>
                <w:sz w:val="24"/>
                <w:szCs w:val="24"/>
              </w:rPr>
              <w:t xml:space="preserve"> </w:t>
            </w:r>
          </w:p>
          <w:p w14:paraId="313BC81E" w14:textId="77777777" w:rsidR="00333FAA" w:rsidRPr="00B90BA1" w:rsidRDefault="00333FAA" w:rsidP="00605A4C">
            <w:pPr>
              <w:rPr>
                <w:rFonts w:cs="Arial"/>
              </w:rPr>
            </w:pPr>
          </w:p>
        </w:tc>
      </w:tr>
    </w:tbl>
    <w:p w14:paraId="0D921C30" w14:textId="77777777" w:rsidR="00742E24" w:rsidRDefault="00742E24" w:rsidP="00F06E4E">
      <w:pPr>
        <w:pStyle w:val="Heading2"/>
        <w:spacing w:before="480"/>
        <w:rPr>
          <w:rFonts w:ascii="Arial" w:hAnsi="Arial"/>
        </w:rPr>
      </w:pPr>
    </w:p>
    <w:p w14:paraId="2A512582" w14:textId="77777777" w:rsidR="00DD6DC5" w:rsidRDefault="00DD6DC5" w:rsidP="00DD6DC5"/>
    <w:p w14:paraId="7F596D02" w14:textId="77777777" w:rsidR="00DD6DC5" w:rsidRDefault="00DD6DC5" w:rsidP="00DD6DC5"/>
    <w:p w14:paraId="3DBA901C" w14:textId="77777777" w:rsidR="00DD6DC5" w:rsidRDefault="00DD6DC5" w:rsidP="00DD6DC5"/>
    <w:p w14:paraId="0204F38A" w14:textId="03B00442" w:rsidR="00333FAA" w:rsidRDefault="00333FAA" w:rsidP="00F06E4E">
      <w:pPr>
        <w:pStyle w:val="Heading2"/>
        <w:spacing w:before="480"/>
      </w:pPr>
      <w:r w:rsidRPr="00367A79">
        <w:lastRenderedPageBreak/>
        <w:t>Section 2 – Report</w:t>
      </w:r>
    </w:p>
    <w:p w14:paraId="4FA1825F" w14:textId="77777777" w:rsidR="00592E8D" w:rsidRPr="00592E8D" w:rsidRDefault="00592E8D" w:rsidP="00592E8D"/>
    <w:p w14:paraId="27274603" w14:textId="4A3F0B4C" w:rsidR="00E27AAF" w:rsidRPr="00491C24" w:rsidRDefault="00E27AAF" w:rsidP="002959B4">
      <w:pPr>
        <w:pStyle w:val="ListParagraph"/>
        <w:numPr>
          <w:ilvl w:val="0"/>
          <w:numId w:val="13"/>
        </w:numPr>
        <w:tabs>
          <w:tab w:val="left" w:pos="709"/>
        </w:tabs>
        <w:ind w:left="714" w:hanging="728"/>
        <w:rPr>
          <w:b/>
          <w:bCs/>
          <w:color w:val="000000"/>
          <w:sz w:val="27"/>
          <w:szCs w:val="27"/>
        </w:rPr>
      </w:pPr>
      <w:r w:rsidRPr="00491C24">
        <w:rPr>
          <w:b/>
          <w:bCs/>
          <w:color w:val="000000"/>
          <w:sz w:val="27"/>
          <w:szCs w:val="27"/>
        </w:rPr>
        <w:t>Introductory paragraph</w:t>
      </w:r>
    </w:p>
    <w:p w14:paraId="5CA64717" w14:textId="77777777" w:rsidR="00E27AAF" w:rsidRDefault="00E27AAF" w:rsidP="000B5673">
      <w:pPr>
        <w:rPr>
          <w:color w:val="000000"/>
          <w:sz w:val="27"/>
          <w:szCs w:val="27"/>
        </w:rPr>
      </w:pPr>
    </w:p>
    <w:p w14:paraId="713800A4" w14:textId="476ACC67" w:rsidR="000B5673" w:rsidRPr="00822663" w:rsidRDefault="0079508B" w:rsidP="00491C24">
      <w:pPr>
        <w:tabs>
          <w:tab w:val="left" w:pos="709"/>
        </w:tabs>
        <w:ind w:left="709" w:hanging="709"/>
      </w:pPr>
      <w:r>
        <w:t>1.1</w:t>
      </w:r>
      <w:r>
        <w:tab/>
      </w:r>
      <w:r w:rsidR="00D9792F">
        <w:t>The</w:t>
      </w:r>
      <w:r w:rsidR="000B5673" w:rsidRPr="00822663">
        <w:t xml:space="preserve"> new </w:t>
      </w:r>
      <w:r w:rsidR="00822663">
        <w:t>Corporate</w:t>
      </w:r>
      <w:r w:rsidR="000B5673" w:rsidRPr="00822663">
        <w:t xml:space="preserve"> Property </w:t>
      </w:r>
      <w:r w:rsidR="00822663">
        <w:t>Strategy</w:t>
      </w:r>
      <w:r w:rsidR="000B5673" w:rsidRPr="00822663">
        <w:t xml:space="preserve"> (</w:t>
      </w:r>
      <w:r w:rsidR="00143240">
        <w:t>approved</w:t>
      </w:r>
      <w:r w:rsidR="00E27AAF">
        <w:t xml:space="preserve"> </w:t>
      </w:r>
      <w:r w:rsidR="000B5673" w:rsidRPr="00822663">
        <w:t xml:space="preserve">at </w:t>
      </w:r>
      <w:r w:rsidR="0064146F" w:rsidRPr="00822663">
        <w:t>Cabinet</w:t>
      </w:r>
      <w:r w:rsidR="000B5673" w:rsidRPr="00822663">
        <w:t xml:space="preserve"> in July 2023)</w:t>
      </w:r>
      <w:r w:rsidR="00D9792F">
        <w:t xml:space="preserve"> </w:t>
      </w:r>
      <w:r w:rsidR="00E27AAF">
        <w:t>provides</w:t>
      </w:r>
      <w:r w:rsidR="000B5673" w:rsidRPr="00822663">
        <w:t xml:space="preserve"> much needed strategic direction, providing a platform for decision making, both to retain buildings, and when required, to release buildings through a targeted disposal programm</w:t>
      </w:r>
      <w:r w:rsidR="00822663">
        <w:t xml:space="preserve">e. The </w:t>
      </w:r>
      <w:r w:rsidR="0064146F">
        <w:t>Council</w:t>
      </w:r>
      <w:r w:rsidR="00822663">
        <w:t xml:space="preserve"> needs to </w:t>
      </w:r>
      <w:r w:rsidR="000B5673" w:rsidRPr="00822663">
        <w:t xml:space="preserve">modernise </w:t>
      </w:r>
      <w:r w:rsidR="002E7FA0">
        <w:t>its</w:t>
      </w:r>
      <w:r w:rsidR="000B5673" w:rsidRPr="00822663">
        <w:t xml:space="preserve"> buildings to ensure they are fit for purpose and energy efficient.  We cannot afford to invest in all our buildings and we will need to reduce the size of our estate, ensuring we retain</w:t>
      </w:r>
      <w:r w:rsidR="000C6038">
        <w:t xml:space="preserve"> buildings in the right locations, which are efficient to run</w:t>
      </w:r>
      <w:r w:rsidR="00FD3871">
        <w:t>,</w:t>
      </w:r>
      <w:r w:rsidR="00D02D72">
        <w:t xml:space="preserve"> to deliver</w:t>
      </w:r>
      <w:r w:rsidR="00FD3871">
        <w:t xml:space="preserve"> </w:t>
      </w:r>
      <w:r w:rsidR="00D02D72">
        <w:t>crucial services to residents</w:t>
      </w:r>
      <w:r w:rsidR="000B5673" w:rsidRPr="00822663">
        <w:t xml:space="preserve">.  To achieve </w:t>
      </w:r>
      <w:r w:rsidR="00FD3871" w:rsidRPr="00822663">
        <w:t>this,</w:t>
      </w:r>
      <w:r w:rsidR="000B5673" w:rsidRPr="00822663">
        <w:t xml:space="preserve"> we will release costly and inefficient buildings and use the savings and receipts to reduce the burden of our tax payers and invest in </w:t>
      </w:r>
      <w:r w:rsidR="000527E8">
        <w:t>our existing estate</w:t>
      </w:r>
      <w:r w:rsidR="000B5673" w:rsidRPr="00822663">
        <w:t xml:space="preserve">.  </w:t>
      </w:r>
    </w:p>
    <w:p w14:paraId="169CB4F9" w14:textId="42CB7159" w:rsidR="000B5673" w:rsidRDefault="000B5673" w:rsidP="000B5673">
      <w:pPr>
        <w:rPr>
          <w:b/>
          <w:bCs/>
        </w:rPr>
      </w:pPr>
    </w:p>
    <w:p w14:paraId="70DE1C25" w14:textId="7860C24D" w:rsidR="008039A5" w:rsidRDefault="002959B4" w:rsidP="008039A5">
      <w:r>
        <w:t xml:space="preserve">1.2 </w:t>
      </w:r>
      <w:r>
        <w:tab/>
      </w:r>
      <w:r w:rsidR="008039A5">
        <w:t>In identifying a first set of potential disposals</w:t>
      </w:r>
      <w:r w:rsidR="00706F4E">
        <w:t>,</w:t>
      </w:r>
      <w:r w:rsidR="008039A5">
        <w:t xml:space="preserve"> priority has been given to: </w:t>
      </w:r>
    </w:p>
    <w:p w14:paraId="34C7662A" w14:textId="60A72AEE" w:rsidR="008039A5" w:rsidRDefault="008039A5" w:rsidP="0016113D">
      <w:pPr>
        <w:pStyle w:val="ListParagraph"/>
        <w:numPr>
          <w:ilvl w:val="0"/>
          <w:numId w:val="9"/>
        </w:numPr>
        <w:ind w:left="1134"/>
      </w:pPr>
      <w:r>
        <w:t>Vacant, non-income producing assets</w:t>
      </w:r>
    </w:p>
    <w:p w14:paraId="0618509E" w14:textId="689EF26E" w:rsidR="008039A5" w:rsidRDefault="008039A5" w:rsidP="0016113D">
      <w:pPr>
        <w:pStyle w:val="ListParagraph"/>
        <w:numPr>
          <w:ilvl w:val="0"/>
          <w:numId w:val="9"/>
        </w:numPr>
        <w:ind w:left="1134"/>
      </w:pPr>
      <w:r>
        <w:t xml:space="preserve">Assets which have the potential for more intensive use/redevelopment through the planning system, and therefore the recycling of capital receipts from sales of underperforming assets into existing but better performing assets. </w:t>
      </w:r>
    </w:p>
    <w:p w14:paraId="0AC8C586" w14:textId="6E56AB72" w:rsidR="00624DF9" w:rsidRDefault="00624DF9" w:rsidP="00624DF9">
      <w:pPr>
        <w:pStyle w:val="paragraph"/>
        <w:spacing w:before="0" w:beforeAutospacing="0" w:after="0" w:afterAutospacing="0"/>
        <w:textAlignment w:val="baseline"/>
        <w:rPr>
          <w:rFonts w:ascii="Arial" w:hAnsi="Arial" w:cs="Arial"/>
        </w:rPr>
      </w:pPr>
    </w:p>
    <w:p w14:paraId="6FEBE52F" w14:textId="49C17D49" w:rsidR="00B052A4" w:rsidRPr="00D174E5" w:rsidRDefault="00B052A4" w:rsidP="00FD2982">
      <w:pPr>
        <w:pStyle w:val="ListParagraph"/>
        <w:numPr>
          <w:ilvl w:val="0"/>
          <w:numId w:val="13"/>
        </w:numPr>
        <w:tabs>
          <w:tab w:val="left" w:pos="709"/>
        </w:tabs>
        <w:ind w:left="714" w:hanging="728"/>
        <w:rPr>
          <w:b/>
          <w:bCs/>
        </w:rPr>
      </w:pPr>
      <w:r w:rsidRPr="00D174E5">
        <w:rPr>
          <w:b/>
          <w:bCs/>
          <w:color w:val="000000"/>
          <w:sz w:val="27"/>
          <w:szCs w:val="27"/>
        </w:rPr>
        <w:t>Ward Councillors’</w:t>
      </w:r>
      <w:r w:rsidRPr="00D174E5">
        <w:rPr>
          <w:b/>
          <w:bCs/>
        </w:rPr>
        <w:t xml:space="preserve"> comments</w:t>
      </w:r>
    </w:p>
    <w:p w14:paraId="7C6058A9" w14:textId="3867A485" w:rsidR="00A70A58" w:rsidRPr="00A70A58" w:rsidRDefault="47D967DA" w:rsidP="00A70A58">
      <w:r>
        <w:t xml:space="preserve">Ward Councillors are supportive. </w:t>
      </w:r>
    </w:p>
    <w:p w14:paraId="1AAAB699" w14:textId="77777777" w:rsidR="005475B0" w:rsidRDefault="005475B0" w:rsidP="005475B0">
      <w:pPr>
        <w:pStyle w:val="ListParagraph"/>
        <w:tabs>
          <w:tab w:val="left" w:pos="709"/>
        </w:tabs>
        <w:ind w:left="714"/>
        <w:rPr>
          <w:color w:val="000000"/>
          <w:sz w:val="27"/>
          <w:szCs w:val="27"/>
        </w:rPr>
      </w:pPr>
    </w:p>
    <w:p w14:paraId="0A078380" w14:textId="1CF268C9" w:rsidR="00AD1E77" w:rsidRPr="00D174E5" w:rsidRDefault="001C7E35" w:rsidP="005475B0">
      <w:pPr>
        <w:pStyle w:val="ListParagraph"/>
        <w:numPr>
          <w:ilvl w:val="0"/>
          <w:numId w:val="13"/>
        </w:numPr>
        <w:tabs>
          <w:tab w:val="left" w:pos="709"/>
        </w:tabs>
        <w:ind w:left="714" w:hanging="728"/>
        <w:rPr>
          <w:b/>
          <w:bCs/>
          <w:color w:val="000000"/>
          <w:sz w:val="27"/>
          <w:szCs w:val="27"/>
        </w:rPr>
      </w:pPr>
      <w:r w:rsidRPr="00D174E5">
        <w:rPr>
          <w:b/>
          <w:bCs/>
          <w:color w:val="000000"/>
          <w:sz w:val="27"/>
          <w:szCs w:val="27"/>
        </w:rPr>
        <w:t xml:space="preserve">Options considered  </w:t>
      </w:r>
    </w:p>
    <w:p w14:paraId="671C06B9" w14:textId="77777777" w:rsidR="005F4BE6" w:rsidRDefault="005F4BE6" w:rsidP="00102686">
      <w:pPr>
        <w:pStyle w:val="paragraph"/>
        <w:spacing w:before="0" w:beforeAutospacing="0" w:after="0" w:afterAutospacing="0"/>
        <w:textAlignment w:val="baseline"/>
        <w:rPr>
          <w:rStyle w:val="normaltextrun"/>
          <w:rFonts w:ascii="Arial" w:hAnsi="Arial" w:cs="Arial"/>
          <w:sz w:val="22"/>
          <w:szCs w:val="22"/>
        </w:rPr>
      </w:pPr>
    </w:p>
    <w:p w14:paraId="79549755" w14:textId="77777777" w:rsidR="00E2761C" w:rsidRDefault="004221DB" w:rsidP="00A70A58">
      <w:r>
        <w:t>Option</w:t>
      </w:r>
      <w:r w:rsidR="00FD173D">
        <w:t xml:space="preserve"> 1</w:t>
      </w:r>
      <w:r w:rsidR="00E2761C">
        <w:t>:</w:t>
      </w:r>
      <w:r w:rsidR="00FD173D">
        <w:t xml:space="preserve"> </w:t>
      </w:r>
      <w:r w:rsidR="00C63B8B">
        <w:t>Do Nothing.</w:t>
      </w:r>
    </w:p>
    <w:p w14:paraId="1D3B405F" w14:textId="77777777" w:rsidR="00E2761C" w:rsidRDefault="00E2761C" w:rsidP="00A70A58"/>
    <w:p w14:paraId="0D5B020F" w14:textId="21A81CCB" w:rsidR="00A70A58" w:rsidRDefault="00C63B8B" w:rsidP="00A70A58">
      <w:r>
        <w:t xml:space="preserve">The </w:t>
      </w:r>
      <w:r w:rsidR="00AA2C58">
        <w:t>property is</w:t>
      </w:r>
      <w:r>
        <w:t xml:space="preserve"> currently vacant and will </w:t>
      </w:r>
      <w:r w:rsidR="00731909">
        <w:t>continue to deteriorate</w:t>
      </w:r>
      <w:r>
        <w:t>. In addition, the Council is incurring holding costs in terms of security</w:t>
      </w:r>
      <w:r w:rsidR="00367A79">
        <w:t xml:space="preserve">, </w:t>
      </w:r>
      <w:r>
        <w:t>outgoings and the opportunity cost.</w:t>
      </w:r>
    </w:p>
    <w:p w14:paraId="49656EBD" w14:textId="56F2E664" w:rsidR="00D719F5" w:rsidRDefault="00D719F5" w:rsidP="00A70A58"/>
    <w:p w14:paraId="3F7D8164" w14:textId="06EE8EFC" w:rsidR="00D719F5" w:rsidRDefault="00D719F5" w:rsidP="00A70A58">
      <w:r>
        <w:t xml:space="preserve">Option </w:t>
      </w:r>
      <w:r w:rsidR="00784209">
        <w:t>2</w:t>
      </w:r>
      <w:r>
        <w:t>: Direct delivery of housing by LB Harrow</w:t>
      </w:r>
    </w:p>
    <w:p w14:paraId="17D3794F" w14:textId="77777777" w:rsidR="004F1CEE" w:rsidRDefault="004F1CEE" w:rsidP="00A70A58"/>
    <w:p w14:paraId="0D1226BC" w14:textId="0BF817CB" w:rsidR="00D719F5" w:rsidRDefault="00D719F5" w:rsidP="00A70A58">
      <w:r>
        <w:t>This option has been considered but ruled out: The Council is bringing forward new housing through its partnership with Wates Residential via the HSDP. There is no identified funding source or capacity to deliver a medium-sized scheme in this location. Similarly, t</w:t>
      </w:r>
      <w:r w:rsidRPr="15D7F07D">
        <w:rPr>
          <w:rStyle w:val="normaltextrun"/>
          <w:rFonts w:cs="Arial"/>
        </w:rPr>
        <w:t xml:space="preserve">he </w:t>
      </w:r>
      <w:r>
        <w:rPr>
          <w:rStyle w:val="normaltextrun"/>
          <w:rFonts w:cs="Arial"/>
        </w:rPr>
        <w:t>C</w:t>
      </w:r>
      <w:r w:rsidRPr="15D7F07D">
        <w:rPr>
          <w:rStyle w:val="normaltextrun"/>
          <w:rFonts w:cs="Arial"/>
        </w:rPr>
        <w:t>ouncil has no other plans or budget for direct delivery</w:t>
      </w:r>
      <w:r w:rsidR="00F76296">
        <w:rPr>
          <w:rStyle w:val="normaltextrun"/>
          <w:rFonts w:cs="Arial"/>
        </w:rPr>
        <w:t xml:space="preserve"> of</w:t>
      </w:r>
      <w:r>
        <w:rPr>
          <w:rStyle w:val="normaltextrun"/>
          <w:rFonts w:cs="Arial"/>
        </w:rPr>
        <w:t xml:space="preserve"> a </w:t>
      </w:r>
      <w:r w:rsidRPr="15D7F07D">
        <w:rPr>
          <w:rStyle w:val="normaltextrun"/>
          <w:rFonts w:cs="Arial"/>
        </w:rPr>
        <w:t xml:space="preserve">school </w:t>
      </w:r>
      <w:r>
        <w:rPr>
          <w:rStyle w:val="normaltextrun"/>
          <w:rFonts w:cs="Arial"/>
        </w:rPr>
        <w:t xml:space="preserve">(too small) </w:t>
      </w:r>
      <w:r w:rsidRPr="15D7F07D">
        <w:rPr>
          <w:rStyle w:val="normaltextrun"/>
          <w:rFonts w:cs="Arial"/>
        </w:rPr>
        <w:t>or other uses</w:t>
      </w:r>
      <w:r>
        <w:rPr>
          <w:rStyle w:val="normaltextrun"/>
          <w:rFonts w:cs="Arial"/>
        </w:rPr>
        <w:t xml:space="preserve"> at this site</w:t>
      </w:r>
      <w:r w:rsidRPr="15D7F07D">
        <w:rPr>
          <w:rStyle w:val="normaltextrun"/>
          <w:rFonts w:cs="Arial"/>
        </w:rPr>
        <w:t>.</w:t>
      </w:r>
    </w:p>
    <w:p w14:paraId="3C51B7B5" w14:textId="77777777" w:rsidR="00785E94" w:rsidRDefault="00785E94" w:rsidP="00C85A26">
      <w:pPr>
        <w:rPr>
          <w:szCs w:val="24"/>
        </w:rPr>
      </w:pPr>
    </w:p>
    <w:p w14:paraId="15C560F6" w14:textId="1F60981C" w:rsidR="00785E94" w:rsidRDefault="007F6AB9" w:rsidP="001506C3">
      <w:pPr>
        <w:rPr>
          <w:szCs w:val="24"/>
        </w:rPr>
      </w:pPr>
      <w:r w:rsidRPr="000D5F1E">
        <w:rPr>
          <w:szCs w:val="24"/>
        </w:rPr>
        <w:t>Option</w:t>
      </w:r>
      <w:r w:rsidR="00E2761C" w:rsidRPr="000D5F1E">
        <w:rPr>
          <w:szCs w:val="24"/>
        </w:rPr>
        <w:t xml:space="preserve"> </w:t>
      </w:r>
      <w:r w:rsidR="00784209">
        <w:rPr>
          <w:szCs w:val="24"/>
        </w:rPr>
        <w:t>3</w:t>
      </w:r>
      <w:r w:rsidR="00E2761C" w:rsidRPr="000D5F1E">
        <w:rPr>
          <w:szCs w:val="24"/>
        </w:rPr>
        <w:t>: R</w:t>
      </w:r>
      <w:r w:rsidRPr="000D5F1E">
        <w:rPr>
          <w:szCs w:val="24"/>
        </w:rPr>
        <w:t>efurbish and utilise for service deliver</w:t>
      </w:r>
      <w:r w:rsidR="004F1CEE">
        <w:rPr>
          <w:szCs w:val="24"/>
        </w:rPr>
        <w:t>y</w:t>
      </w:r>
    </w:p>
    <w:p w14:paraId="30B0D23C" w14:textId="77777777" w:rsidR="004F1CEE" w:rsidRDefault="004F1CEE" w:rsidP="001506C3">
      <w:pPr>
        <w:rPr>
          <w:szCs w:val="24"/>
        </w:rPr>
      </w:pPr>
    </w:p>
    <w:p w14:paraId="5517FE2F" w14:textId="2CE930F6" w:rsidR="001506C3" w:rsidRDefault="001506C3" w:rsidP="001506C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This former hostel was used as emergency accommodation for homeless households which became unsuitable for use during the pandemic and has now been vacant for at least three years. It is in a dilapidated condition and is the subject of frequently fly tipping, graffiti and other anti-social behaviour. </w:t>
      </w:r>
    </w:p>
    <w:p w14:paraId="147F37CE" w14:textId="77777777" w:rsidR="001506C3" w:rsidRDefault="001506C3" w:rsidP="001506C3">
      <w:pPr>
        <w:pStyle w:val="paragraph"/>
        <w:spacing w:before="0" w:beforeAutospacing="0" w:after="0" w:afterAutospacing="0"/>
        <w:textAlignment w:val="baseline"/>
        <w:rPr>
          <w:rFonts w:ascii="Segoe UI" w:hAnsi="Segoe UI" w:cs="Segoe UI"/>
        </w:rPr>
      </w:pPr>
    </w:p>
    <w:p w14:paraId="75A6C435" w14:textId="2CB22CE7" w:rsidR="005B40AC" w:rsidRDefault="001506C3" w:rsidP="15D7F07D">
      <w:pPr>
        <w:pStyle w:val="paragraph"/>
        <w:spacing w:before="0" w:beforeAutospacing="0" w:after="0" w:afterAutospacing="0"/>
        <w:textAlignment w:val="baseline"/>
        <w:rPr>
          <w:rStyle w:val="normaltextrun"/>
          <w:rFonts w:ascii="Arial" w:hAnsi="Arial" w:cs="Arial"/>
        </w:rPr>
      </w:pPr>
      <w:r w:rsidRPr="15D7F07D">
        <w:rPr>
          <w:rStyle w:val="normaltextrun"/>
          <w:rFonts w:ascii="Arial" w:hAnsi="Arial" w:cs="Arial"/>
        </w:rPr>
        <w:lastRenderedPageBreak/>
        <w:t xml:space="preserve">Housing Services have concluded that the location is less suitable for a homeless hostel and a previous planning application to redevelop it for emergency accommodation was withdrawn. The </w:t>
      </w:r>
      <w:r w:rsidR="062B6F3D" w:rsidRPr="15D7F07D">
        <w:rPr>
          <w:rStyle w:val="normaltextrun"/>
          <w:rFonts w:ascii="Arial" w:hAnsi="Arial" w:cs="Arial"/>
        </w:rPr>
        <w:t>Council</w:t>
      </w:r>
      <w:r w:rsidRPr="15D7F07D">
        <w:rPr>
          <w:rStyle w:val="normaltextrun"/>
          <w:rFonts w:ascii="Arial" w:hAnsi="Arial" w:cs="Arial"/>
        </w:rPr>
        <w:t xml:space="preserve"> has no emergency accommodation within its ownership in Harrow and relies on using privately owned nightly paid accommodation. However, other sites, within the Council’s ownership, are better suited for this and are being actively considered. </w:t>
      </w:r>
    </w:p>
    <w:p w14:paraId="25AB18D4" w14:textId="77777777" w:rsidR="00063BF3" w:rsidRPr="001506C3" w:rsidRDefault="00063BF3" w:rsidP="19FD6232">
      <w:pPr>
        <w:pStyle w:val="paragraph"/>
        <w:spacing w:before="0" w:beforeAutospacing="0" w:after="0" w:afterAutospacing="0"/>
        <w:textAlignment w:val="baseline"/>
        <w:rPr>
          <w:rFonts w:ascii="Segoe UI" w:hAnsi="Segoe UI" w:cs="Segoe UI"/>
        </w:rPr>
      </w:pPr>
    </w:p>
    <w:p w14:paraId="7F2B4CF8" w14:textId="4437AE9B" w:rsidR="6B8DBB4D" w:rsidRDefault="6B8DBB4D" w:rsidP="19FD6232">
      <w:pPr>
        <w:pStyle w:val="paragraph"/>
        <w:spacing w:before="0" w:beforeAutospacing="0" w:after="0" w:afterAutospacing="0"/>
        <w:rPr>
          <w:rFonts w:ascii="Segoe UI" w:hAnsi="Segoe UI" w:cs="Segoe UI"/>
        </w:rPr>
      </w:pPr>
      <w:r w:rsidRPr="19FD6232">
        <w:rPr>
          <w:rFonts w:ascii="Segoe UI" w:hAnsi="Segoe UI" w:cs="Segoe UI"/>
        </w:rPr>
        <w:t>O</w:t>
      </w:r>
      <w:r w:rsidRPr="004F1CEE">
        <w:rPr>
          <w:rFonts w:ascii="Arial" w:hAnsi="Arial" w:cs="Arial"/>
          <w:lang w:eastAsia="en-US"/>
        </w:rPr>
        <w:t xml:space="preserve">ption </w:t>
      </w:r>
      <w:r w:rsidR="005F024B">
        <w:rPr>
          <w:rFonts w:ascii="Arial" w:hAnsi="Arial" w:cs="Arial"/>
          <w:lang w:eastAsia="en-US"/>
        </w:rPr>
        <w:t>4</w:t>
      </w:r>
      <w:r w:rsidRPr="004F1CEE">
        <w:rPr>
          <w:rFonts w:ascii="Arial" w:hAnsi="Arial" w:cs="Arial"/>
          <w:lang w:eastAsia="en-US"/>
        </w:rPr>
        <w:t xml:space="preserve">: Apply for </w:t>
      </w:r>
      <w:r w:rsidR="004326D0" w:rsidRPr="004326D0">
        <w:rPr>
          <w:rFonts w:ascii="Arial" w:hAnsi="Arial" w:cs="Arial"/>
          <w:lang w:eastAsia="en-US"/>
        </w:rPr>
        <w:t>planning</w:t>
      </w:r>
      <w:r w:rsidRPr="004F1CEE">
        <w:rPr>
          <w:rFonts w:ascii="Arial" w:hAnsi="Arial" w:cs="Arial"/>
          <w:lang w:eastAsia="en-US"/>
        </w:rPr>
        <w:t xml:space="preserve"> permission for a particular use</w:t>
      </w:r>
      <w:r w:rsidR="007140D7">
        <w:rPr>
          <w:rFonts w:ascii="Arial" w:hAnsi="Arial" w:cs="Arial"/>
          <w:lang w:eastAsia="en-US"/>
        </w:rPr>
        <w:t xml:space="preserve"> prior to sale.</w:t>
      </w:r>
      <w:r w:rsidRPr="004F1CEE">
        <w:rPr>
          <w:rFonts w:ascii="Arial" w:hAnsi="Arial" w:cs="Arial"/>
          <w:lang w:eastAsia="en-US"/>
        </w:rPr>
        <w:t xml:space="preserve"> This has </w:t>
      </w:r>
      <w:r w:rsidR="004B42FB" w:rsidRPr="004B42FB">
        <w:rPr>
          <w:rFonts w:ascii="Arial" w:hAnsi="Arial" w:cs="Arial"/>
          <w:lang w:eastAsia="en-US"/>
        </w:rPr>
        <w:t>been</w:t>
      </w:r>
      <w:r w:rsidRPr="004F1CEE">
        <w:rPr>
          <w:rFonts w:ascii="Arial" w:hAnsi="Arial" w:cs="Arial"/>
          <w:lang w:eastAsia="en-US"/>
        </w:rPr>
        <w:t xml:space="preserve"> ruled out because </w:t>
      </w:r>
      <w:r w:rsidR="004326D0" w:rsidRPr="004326D0">
        <w:rPr>
          <w:rFonts w:ascii="Arial" w:hAnsi="Arial" w:cs="Arial"/>
          <w:lang w:eastAsia="en-US"/>
        </w:rPr>
        <w:t>although</w:t>
      </w:r>
      <w:r w:rsidRPr="004F1CEE">
        <w:rPr>
          <w:rFonts w:ascii="Arial" w:hAnsi="Arial" w:cs="Arial"/>
          <w:lang w:eastAsia="en-US"/>
        </w:rPr>
        <w:t xml:space="preserve"> </w:t>
      </w:r>
      <w:r w:rsidR="1D12EECC" w:rsidRPr="004F1CEE">
        <w:rPr>
          <w:rFonts w:ascii="Arial" w:hAnsi="Arial" w:cs="Arial"/>
          <w:lang w:eastAsia="en-US"/>
        </w:rPr>
        <w:t>it</w:t>
      </w:r>
      <w:r w:rsidRPr="004F1CEE">
        <w:rPr>
          <w:rFonts w:ascii="Arial" w:hAnsi="Arial" w:cs="Arial"/>
          <w:lang w:eastAsia="en-US"/>
        </w:rPr>
        <w:t xml:space="preserve"> would </w:t>
      </w:r>
      <w:r w:rsidR="006A52AF">
        <w:rPr>
          <w:rFonts w:ascii="Arial" w:hAnsi="Arial" w:cs="Arial"/>
          <w:lang w:eastAsia="en-US"/>
        </w:rPr>
        <w:t>help clarify</w:t>
      </w:r>
      <w:r w:rsidR="0D9CAE41" w:rsidRPr="004F1CEE">
        <w:rPr>
          <w:rFonts w:ascii="Arial" w:hAnsi="Arial" w:cs="Arial"/>
          <w:lang w:eastAsia="en-US"/>
        </w:rPr>
        <w:t xml:space="preserve"> </w:t>
      </w:r>
      <w:r w:rsidR="004326D0" w:rsidRPr="004326D0">
        <w:rPr>
          <w:rFonts w:ascii="Arial" w:hAnsi="Arial" w:cs="Arial"/>
          <w:lang w:eastAsia="en-US"/>
        </w:rPr>
        <w:t>potential</w:t>
      </w:r>
      <w:r w:rsidR="0D9CAE41" w:rsidRPr="004F1CEE">
        <w:rPr>
          <w:rFonts w:ascii="Arial" w:hAnsi="Arial" w:cs="Arial"/>
          <w:lang w:eastAsia="en-US"/>
        </w:rPr>
        <w:t xml:space="preserve"> planning issues, it would be resource intensive and generate considerable costs. The </w:t>
      </w:r>
      <w:r w:rsidR="004326D0" w:rsidRPr="004326D0">
        <w:rPr>
          <w:rFonts w:ascii="Arial" w:hAnsi="Arial" w:cs="Arial"/>
          <w:lang w:eastAsia="en-US"/>
        </w:rPr>
        <w:t>Council</w:t>
      </w:r>
      <w:r w:rsidR="0D9CAE41" w:rsidRPr="004F1CEE">
        <w:rPr>
          <w:rFonts w:ascii="Arial" w:hAnsi="Arial" w:cs="Arial"/>
          <w:lang w:eastAsia="en-US"/>
        </w:rPr>
        <w:t xml:space="preserve"> cann</w:t>
      </w:r>
      <w:r w:rsidR="3CBF484D" w:rsidRPr="004F1CEE">
        <w:rPr>
          <w:rFonts w:ascii="Arial" w:hAnsi="Arial" w:cs="Arial"/>
          <w:lang w:eastAsia="en-US"/>
        </w:rPr>
        <w:t xml:space="preserve">ot </w:t>
      </w:r>
      <w:r w:rsidR="00BF21AB" w:rsidRPr="00BF21AB">
        <w:rPr>
          <w:rFonts w:ascii="Arial" w:hAnsi="Arial" w:cs="Arial"/>
          <w:lang w:eastAsia="en-US"/>
        </w:rPr>
        <w:t>influence</w:t>
      </w:r>
      <w:r w:rsidR="3CBF484D" w:rsidRPr="004F1CEE">
        <w:rPr>
          <w:rFonts w:ascii="Arial" w:hAnsi="Arial" w:cs="Arial"/>
          <w:lang w:eastAsia="en-US"/>
        </w:rPr>
        <w:t xml:space="preserve"> what is to be built as </w:t>
      </w:r>
      <w:r w:rsidR="004326D0" w:rsidRPr="004326D0">
        <w:rPr>
          <w:rFonts w:ascii="Arial" w:hAnsi="Arial" w:cs="Arial"/>
          <w:lang w:eastAsia="en-US"/>
        </w:rPr>
        <w:t>landowner</w:t>
      </w:r>
      <w:r w:rsidR="3CBF484D" w:rsidRPr="004F1CEE">
        <w:rPr>
          <w:rFonts w:ascii="Arial" w:hAnsi="Arial" w:cs="Arial"/>
          <w:lang w:eastAsia="en-US"/>
        </w:rPr>
        <w:t xml:space="preserve"> (that is for the </w:t>
      </w:r>
      <w:r w:rsidR="004326D0" w:rsidRPr="004326D0">
        <w:rPr>
          <w:rFonts w:ascii="Arial" w:hAnsi="Arial" w:cs="Arial"/>
          <w:lang w:eastAsia="en-US"/>
        </w:rPr>
        <w:t>planning</w:t>
      </w:r>
      <w:r w:rsidR="3CBF484D" w:rsidRPr="004F1CEE">
        <w:rPr>
          <w:rFonts w:ascii="Arial" w:hAnsi="Arial" w:cs="Arial"/>
          <w:lang w:eastAsia="en-US"/>
        </w:rPr>
        <w:t xml:space="preserve"> system) and, </w:t>
      </w:r>
      <w:r w:rsidR="00BF21AB" w:rsidRPr="00BF21AB">
        <w:rPr>
          <w:rFonts w:ascii="Arial" w:hAnsi="Arial" w:cs="Arial"/>
          <w:lang w:eastAsia="en-US"/>
        </w:rPr>
        <w:t>moreover</w:t>
      </w:r>
      <w:r w:rsidR="3CBF484D" w:rsidRPr="004F1CEE">
        <w:rPr>
          <w:rFonts w:ascii="Arial" w:hAnsi="Arial" w:cs="Arial"/>
          <w:lang w:eastAsia="en-US"/>
        </w:rPr>
        <w:t>, any new owner</w:t>
      </w:r>
      <w:r w:rsidR="2278514A" w:rsidRPr="004F1CEE">
        <w:rPr>
          <w:rFonts w:ascii="Arial" w:hAnsi="Arial" w:cs="Arial"/>
          <w:lang w:eastAsia="en-US"/>
        </w:rPr>
        <w:t xml:space="preserve"> would not be obliged to carry out the approved scheme and could </w:t>
      </w:r>
      <w:r w:rsidR="004326D0" w:rsidRPr="004326D0">
        <w:rPr>
          <w:rFonts w:ascii="Arial" w:hAnsi="Arial" w:cs="Arial"/>
          <w:lang w:eastAsia="en-US"/>
        </w:rPr>
        <w:t>apply</w:t>
      </w:r>
      <w:r w:rsidR="2278514A" w:rsidRPr="004F1CEE">
        <w:rPr>
          <w:rFonts w:ascii="Arial" w:hAnsi="Arial" w:cs="Arial"/>
          <w:lang w:eastAsia="en-US"/>
        </w:rPr>
        <w:t xml:space="preserve"> for a new permission. </w:t>
      </w:r>
    </w:p>
    <w:p w14:paraId="742788AC" w14:textId="77777777" w:rsidR="00E2761C" w:rsidRPr="000D5F1E" w:rsidRDefault="00E2761C" w:rsidP="00A70A58"/>
    <w:p w14:paraId="3850DCF0" w14:textId="04CF8605" w:rsidR="00E2761C" w:rsidRPr="000D5F1E" w:rsidRDefault="00496688" w:rsidP="00A70A58">
      <w:pPr>
        <w:rPr>
          <w:rFonts w:cs="Arial"/>
          <w:lang w:val="en-US"/>
        </w:rPr>
      </w:pPr>
      <w:r w:rsidRPr="000D5F1E">
        <w:t xml:space="preserve">Option </w:t>
      </w:r>
      <w:r w:rsidR="007140D7">
        <w:t>5</w:t>
      </w:r>
      <w:r w:rsidR="00E2761C" w:rsidRPr="000D5F1E">
        <w:t xml:space="preserve">: </w:t>
      </w:r>
      <w:r w:rsidR="00C20999" w:rsidRPr="1F1D83FE">
        <w:rPr>
          <w:rFonts w:cs="Arial"/>
          <w:lang w:val="en-US"/>
        </w:rPr>
        <w:t>Dispose on the open market</w:t>
      </w:r>
    </w:p>
    <w:p w14:paraId="6050222E" w14:textId="77777777" w:rsidR="00E2761C" w:rsidRPr="000D5F1E" w:rsidRDefault="00E2761C" w:rsidP="00A70A58">
      <w:pPr>
        <w:rPr>
          <w:rFonts w:cs="Arial"/>
          <w:szCs w:val="24"/>
          <w:lang w:val="en-US"/>
        </w:rPr>
      </w:pPr>
    </w:p>
    <w:p w14:paraId="7631C0F1" w14:textId="5FE91787" w:rsidR="77A817D7" w:rsidRDefault="2A4CB239" w:rsidP="00122DBD">
      <w:r w:rsidRPr="000D5F1E">
        <w:rPr>
          <w:rFonts w:cs="Arial"/>
          <w:lang w:val="en-US"/>
        </w:rPr>
        <w:t>Sell the prope</w:t>
      </w:r>
      <w:r w:rsidR="001506C3">
        <w:rPr>
          <w:rFonts w:cs="Arial"/>
          <w:lang w:val="en-US"/>
        </w:rPr>
        <w:t>rty</w:t>
      </w:r>
      <w:r w:rsidRPr="000D5F1E">
        <w:rPr>
          <w:rFonts w:cs="Arial"/>
          <w:lang w:val="en-US"/>
        </w:rPr>
        <w:t xml:space="preserve"> on the </w:t>
      </w:r>
      <w:r w:rsidRPr="00BC0F73">
        <w:rPr>
          <w:rFonts w:cs="Arial"/>
          <w:lang w:val="en-US"/>
        </w:rPr>
        <w:t xml:space="preserve">open market through </w:t>
      </w:r>
      <w:r w:rsidR="001506C3" w:rsidRPr="00BC0F73">
        <w:rPr>
          <w:rFonts w:cs="Arial"/>
          <w:lang w:val="en-US"/>
        </w:rPr>
        <w:t>informal tender</w:t>
      </w:r>
      <w:r w:rsidR="00943A95" w:rsidRPr="00BC0F73">
        <w:rPr>
          <w:rFonts w:cs="Arial"/>
          <w:lang w:val="en-US"/>
        </w:rPr>
        <w:t>,</w:t>
      </w:r>
      <w:r w:rsidR="5A4EC2F3" w:rsidRPr="00BC0F73">
        <w:rPr>
          <w:rFonts w:cs="Arial"/>
          <w:lang w:val="en-US"/>
        </w:rPr>
        <w:t xml:space="preserve"> with the benefit of a planning brief which woul</w:t>
      </w:r>
      <w:r w:rsidR="19BEFE48" w:rsidRPr="00BC0F73">
        <w:rPr>
          <w:rFonts w:cs="Arial"/>
          <w:lang w:val="en-US"/>
        </w:rPr>
        <w:t xml:space="preserve">d </w:t>
      </w:r>
      <w:r w:rsidR="00F831AB" w:rsidRPr="00BC0F73">
        <w:rPr>
          <w:rFonts w:cs="Arial"/>
          <w:lang w:val="en-US"/>
        </w:rPr>
        <w:t>provide</w:t>
      </w:r>
      <w:r w:rsidR="19BEFE48" w:rsidRPr="00BC0F73">
        <w:rPr>
          <w:rFonts w:cs="Arial"/>
          <w:lang w:val="en-US"/>
        </w:rPr>
        <w:t xml:space="preserve"> guidance on</w:t>
      </w:r>
      <w:r w:rsidR="00863B32" w:rsidRPr="00BC0F73">
        <w:rPr>
          <w:rFonts w:cs="Arial"/>
          <w:lang w:val="en-US"/>
        </w:rPr>
        <w:t xml:space="preserve"> acceptable potential </w:t>
      </w:r>
      <w:r w:rsidR="00943A95" w:rsidRPr="00BC0F73">
        <w:rPr>
          <w:rFonts w:cs="Arial"/>
          <w:lang w:val="en-US"/>
        </w:rPr>
        <w:t>future uses of the site,</w:t>
      </w:r>
      <w:r w:rsidR="00CE28B3" w:rsidRPr="00BC0F73">
        <w:rPr>
          <w:rFonts w:cs="Arial"/>
          <w:lang w:val="en-US"/>
        </w:rPr>
        <w:t xml:space="preserve"> </w:t>
      </w:r>
      <w:r w:rsidR="00863B32" w:rsidRPr="00BC0F73">
        <w:rPr>
          <w:rFonts w:cs="Arial"/>
          <w:lang w:val="en-US"/>
        </w:rPr>
        <w:t xml:space="preserve">as well as </w:t>
      </w:r>
      <w:r w:rsidR="00CE28B3" w:rsidRPr="00BC0F73">
        <w:rPr>
          <w:rFonts w:cs="Arial"/>
          <w:lang w:val="en-US"/>
        </w:rPr>
        <w:t>the appropriate</w:t>
      </w:r>
      <w:r w:rsidR="00863B32" w:rsidRPr="00BC0F73">
        <w:rPr>
          <w:rFonts w:cs="Arial"/>
          <w:lang w:val="en-US"/>
        </w:rPr>
        <w:t xml:space="preserve"> scale and massing of any </w:t>
      </w:r>
      <w:r w:rsidR="00943A95" w:rsidRPr="00BC0F73">
        <w:rPr>
          <w:rFonts w:cs="Arial"/>
          <w:lang w:val="en-US"/>
        </w:rPr>
        <w:t>development</w:t>
      </w:r>
      <w:r w:rsidR="00CE28B3" w:rsidRPr="00BC0F73">
        <w:rPr>
          <w:rFonts w:cs="Arial"/>
          <w:lang w:val="en-US"/>
        </w:rPr>
        <w:t xml:space="preserve">. </w:t>
      </w:r>
      <w:r w:rsidR="6730C3BA" w:rsidRPr="00BC0F73">
        <w:rPr>
          <w:rFonts w:cs="Arial"/>
          <w:lang w:val="en-US"/>
        </w:rPr>
        <w:t>T</w:t>
      </w:r>
      <w:r w:rsidR="0AFB3DE6" w:rsidRPr="00BC0F73">
        <w:rPr>
          <w:rFonts w:cs="Arial"/>
          <w:lang w:val="en-US"/>
        </w:rPr>
        <w:t xml:space="preserve">he Council will procure marketing advice from </w:t>
      </w:r>
      <w:r w:rsidR="6730C3BA" w:rsidRPr="00BC0F73">
        <w:rPr>
          <w:rFonts w:cs="Arial"/>
          <w:lang w:val="en-US"/>
        </w:rPr>
        <w:t>property agent</w:t>
      </w:r>
      <w:r w:rsidR="001506C3" w:rsidRPr="00BC0F73">
        <w:rPr>
          <w:rFonts w:cs="Arial"/>
          <w:lang w:val="en-US"/>
        </w:rPr>
        <w:t>(s)</w:t>
      </w:r>
      <w:r w:rsidR="6730C3BA" w:rsidRPr="00BC0F73">
        <w:rPr>
          <w:rFonts w:cs="Arial"/>
          <w:lang w:val="en-US"/>
        </w:rPr>
        <w:t xml:space="preserve"> </w:t>
      </w:r>
      <w:r w:rsidR="0AFB3DE6" w:rsidRPr="00BC0F73">
        <w:rPr>
          <w:rFonts w:cs="Arial"/>
          <w:lang w:val="en-US"/>
        </w:rPr>
        <w:t xml:space="preserve">to ensure the </w:t>
      </w:r>
      <w:r w:rsidR="001506C3" w:rsidRPr="00BC0F73">
        <w:rPr>
          <w:rFonts w:cs="Arial"/>
          <w:lang w:val="en-US"/>
        </w:rPr>
        <w:t>site is</w:t>
      </w:r>
      <w:r w:rsidR="0AFB3DE6" w:rsidRPr="00BC0F73">
        <w:rPr>
          <w:rFonts w:cs="Arial"/>
          <w:lang w:val="en-US"/>
        </w:rPr>
        <w:t xml:space="preserve"> sold</w:t>
      </w:r>
      <w:r w:rsidR="0AFB3DE6" w:rsidRPr="000D5F1E">
        <w:rPr>
          <w:rFonts w:cs="Arial"/>
          <w:lang w:val="en-US"/>
        </w:rPr>
        <w:t xml:space="preserve"> in the most </w:t>
      </w:r>
      <w:r w:rsidR="59763452" w:rsidRPr="000D5F1E">
        <w:rPr>
          <w:rFonts w:cs="Arial"/>
          <w:lang w:val="en-US"/>
        </w:rPr>
        <w:t>appropriate</w:t>
      </w:r>
      <w:r w:rsidR="0AFB3DE6" w:rsidRPr="000D5F1E">
        <w:rPr>
          <w:rFonts w:cs="Arial"/>
          <w:lang w:val="en-US"/>
        </w:rPr>
        <w:t xml:space="preserve"> way for the market </w:t>
      </w:r>
      <w:r w:rsidR="00CE28B3">
        <w:rPr>
          <w:rFonts w:cs="Arial"/>
          <w:lang w:val="en-US"/>
        </w:rPr>
        <w:t xml:space="preserve">and planning </w:t>
      </w:r>
      <w:r w:rsidR="0AFB3DE6" w:rsidRPr="000D5F1E">
        <w:rPr>
          <w:rFonts w:cs="Arial"/>
          <w:lang w:val="en-US"/>
        </w:rPr>
        <w:t>conditions</w:t>
      </w:r>
      <w:r w:rsidR="00CE28B3">
        <w:rPr>
          <w:rFonts w:cs="Arial"/>
          <w:lang w:val="en-US"/>
        </w:rPr>
        <w:t>,</w:t>
      </w:r>
      <w:r w:rsidR="0AFB3DE6" w:rsidRPr="000D5F1E">
        <w:rPr>
          <w:rFonts w:cs="Arial"/>
          <w:lang w:val="en-US"/>
        </w:rPr>
        <w:t xml:space="preserve"> and </w:t>
      </w:r>
      <w:r w:rsidR="001506C3">
        <w:rPr>
          <w:rFonts w:cs="Arial"/>
          <w:lang w:val="en-US"/>
        </w:rPr>
        <w:t>type</w:t>
      </w:r>
      <w:r w:rsidR="0AFB3DE6" w:rsidRPr="000D5F1E">
        <w:rPr>
          <w:rFonts w:cs="Arial"/>
          <w:lang w:val="en-US"/>
        </w:rPr>
        <w:t xml:space="preserve"> of asset</w:t>
      </w:r>
      <w:r w:rsidR="6730C3BA" w:rsidRPr="000D5F1E">
        <w:rPr>
          <w:rFonts w:cs="Arial"/>
          <w:lang w:val="en-US"/>
        </w:rPr>
        <w:t xml:space="preserve">. </w:t>
      </w:r>
      <w:r w:rsidR="004B42FB">
        <w:rPr>
          <w:rFonts w:cs="Arial"/>
          <w:lang w:val="en-US"/>
        </w:rPr>
        <w:t xml:space="preserve">Following an </w:t>
      </w:r>
      <w:r w:rsidR="00654E02">
        <w:rPr>
          <w:rFonts w:cs="Arial"/>
          <w:lang w:val="en-US"/>
        </w:rPr>
        <w:t>appropriation</w:t>
      </w:r>
      <w:r w:rsidR="004B42FB">
        <w:rPr>
          <w:rFonts w:cs="Arial"/>
          <w:lang w:val="en-US"/>
        </w:rPr>
        <w:t xml:space="preserve"> of the property from the Housing Revenue Account to the General Fund, t</w:t>
      </w:r>
      <w:r w:rsidR="004B42FB" w:rsidRPr="000D5F1E">
        <w:rPr>
          <w:rFonts w:cs="Arial"/>
          <w:lang w:val="en-US"/>
        </w:rPr>
        <w:t xml:space="preserve">he </w:t>
      </w:r>
      <w:r w:rsidR="7B67CE73" w:rsidRPr="000D5F1E">
        <w:t xml:space="preserve">proceeds from the </w:t>
      </w:r>
      <w:r w:rsidR="005E613A">
        <w:t>sale</w:t>
      </w:r>
      <w:r w:rsidR="59763452" w:rsidRPr="000D5F1E">
        <w:t xml:space="preserve"> will</w:t>
      </w:r>
      <w:r w:rsidR="7B67CE73" w:rsidRPr="000D5F1E">
        <w:t xml:space="preserve"> contribute to </w:t>
      </w:r>
      <w:r w:rsidR="59763452" w:rsidRPr="000D5F1E">
        <w:t xml:space="preserve">the </w:t>
      </w:r>
      <w:r w:rsidR="7B67CE73" w:rsidRPr="000D5F1E">
        <w:t xml:space="preserve">capital receipt identified in the MTFS for </w:t>
      </w:r>
      <w:r w:rsidR="00E86255">
        <w:t>24/25</w:t>
      </w:r>
      <w:r w:rsidR="7B67CE73" w:rsidRPr="000D5F1E">
        <w:t>.  Proceeding with this option will form a vital part of the future capital investment in the borough</w:t>
      </w:r>
      <w:r w:rsidR="0AFB3DE6" w:rsidRPr="000D5F1E">
        <w:t xml:space="preserve"> including reinvesting the capital proceeds in new, fit for purpose accommodation</w:t>
      </w:r>
      <w:r w:rsidR="7B67CE73" w:rsidRPr="000D5F1E">
        <w:t xml:space="preserve">.  </w:t>
      </w:r>
      <w:r w:rsidR="7B67CE73" w:rsidRPr="00026C12">
        <w:t xml:space="preserve">This is considered the most cost-effective approach and is the recommended option.  </w:t>
      </w:r>
      <w:r w:rsidR="00026C12" w:rsidRPr="00026C12">
        <w:t xml:space="preserve">The agents will provide their view of the selling price, and as the campaign will be open and widely </w:t>
      </w:r>
      <w:r w:rsidR="004326D0" w:rsidRPr="00026C12">
        <w:t>targeted,</w:t>
      </w:r>
      <w:r w:rsidR="004326D0">
        <w:t xml:space="preserve"> so</w:t>
      </w:r>
      <w:r w:rsidR="00026C12" w:rsidRPr="00026C12">
        <w:t xml:space="preserve"> there is no practical need to undertake a valuation prior because the bids will demonstrate the market value of the </w:t>
      </w:r>
      <w:r w:rsidR="004B42FB">
        <w:t>property</w:t>
      </w:r>
      <w:r w:rsidR="00F4517A">
        <w:t xml:space="preserve">. </w:t>
      </w:r>
      <w:r w:rsidR="00F4517A" w:rsidRPr="00316D1C">
        <w:t xml:space="preserve">Overage </w:t>
      </w:r>
      <w:r w:rsidR="00122DBD" w:rsidRPr="00316D1C">
        <w:t xml:space="preserve">will be included in the marketing particulars to ensure </w:t>
      </w:r>
      <w:r w:rsidR="00D54895" w:rsidRPr="00316D1C">
        <w:t xml:space="preserve">the Council </w:t>
      </w:r>
      <w:r w:rsidR="00F36590" w:rsidRPr="00316D1C">
        <w:t xml:space="preserve">has the </w:t>
      </w:r>
      <w:r w:rsidR="00D54895" w:rsidRPr="00316D1C">
        <w:t>benefit</w:t>
      </w:r>
      <w:r w:rsidR="004D3E02" w:rsidRPr="00316D1C">
        <w:t xml:space="preserve"> of </w:t>
      </w:r>
      <w:r w:rsidR="00F36590" w:rsidRPr="00316D1C">
        <w:t>potential</w:t>
      </w:r>
      <w:r w:rsidR="004D3E02" w:rsidRPr="00316D1C">
        <w:t xml:space="preserve"> future uplift in values.</w:t>
      </w:r>
      <w:r w:rsidR="004D3E02">
        <w:t xml:space="preserve"> </w:t>
      </w:r>
    </w:p>
    <w:p w14:paraId="77BDC3B2" w14:textId="77777777" w:rsidR="00D54895" w:rsidRPr="000D5F1E" w:rsidRDefault="00D54895" w:rsidP="00122DBD">
      <w:pPr>
        <w:rPr>
          <w:rFonts w:cs="Arial"/>
        </w:rPr>
      </w:pPr>
    </w:p>
    <w:p w14:paraId="118FD02D" w14:textId="55189B6E" w:rsidR="0F374EC3" w:rsidRPr="000D5F1E" w:rsidRDefault="0F374EC3" w:rsidP="77A817D7">
      <w:pPr>
        <w:rPr>
          <w:rFonts w:cs="Arial"/>
        </w:rPr>
      </w:pPr>
      <w:r w:rsidRPr="000D5F1E">
        <w:rPr>
          <w:rFonts w:cs="Arial"/>
        </w:rPr>
        <w:t xml:space="preserve">Whilst Option </w:t>
      </w:r>
      <w:r w:rsidR="00771452">
        <w:rPr>
          <w:rFonts w:cs="Arial"/>
        </w:rPr>
        <w:t>5</w:t>
      </w:r>
      <w:r w:rsidR="004B42FB" w:rsidRPr="000D5F1E">
        <w:rPr>
          <w:rFonts w:cs="Arial"/>
        </w:rPr>
        <w:t xml:space="preserve"> </w:t>
      </w:r>
      <w:r w:rsidRPr="000D5F1E">
        <w:rPr>
          <w:rFonts w:cs="Arial"/>
        </w:rPr>
        <w:t xml:space="preserve">is recommended, this is on the basis that a sale represents the best consideration reasonably obtainable.  </w:t>
      </w:r>
    </w:p>
    <w:p w14:paraId="050C1713" w14:textId="77777777" w:rsidR="00105B8A" w:rsidRPr="000D5F1E" w:rsidRDefault="00105B8A" w:rsidP="00105B8A">
      <w:pPr>
        <w:tabs>
          <w:tab w:val="left" w:pos="5610"/>
        </w:tabs>
        <w:ind w:left="567" w:right="81" w:hanging="567"/>
        <w:rPr>
          <w:rFonts w:cs="Arial"/>
          <w:szCs w:val="24"/>
          <w:lang w:val="en-US"/>
        </w:rPr>
      </w:pPr>
      <w:bookmarkStart w:id="0" w:name="_Hlk60923477"/>
      <w:bookmarkStart w:id="1" w:name="_Hlk60922991"/>
      <w:bookmarkStart w:id="2" w:name="_Hlk60923939"/>
    </w:p>
    <w:p w14:paraId="660779A7" w14:textId="77777777" w:rsidR="00E6767F" w:rsidRPr="00421447" w:rsidRDefault="00E6767F" w:rsidP="00E6767F">
      <w:pPr>
        <w:pStyle w:val="ListParagraph"/>
        <w:numPr>
          <w:ilvl w:val="0"/>
          <w:numId w:val="13"/>
        </w:numPr>
        <w:tabs>
          <w:tab w:val="left" w:pos="709"/>
        </w:tabs>
        <w:ind w:left="714" w:hanging="728"/>
        <w:rPr>
          <w:rFonts w:ascii="Arial Black" w:hAnsi="Arial Black"/>
          <w:b/>
          <w:bCs/>
          <w:color w:val="000000"/>
          <w:sz w:val="27"/>
          <w:szCs w:val="27"/>
        </w:rPr>
      </w:pPr>
      <w:r w:rsidRPr="00421447">
        <w:rPr>
          <w:rFonts w:ascii="Arial Black" w:hAnsi="Arial Black"/>
          <w:b/>
          <w:bCs/>
          <w:color w:val="000000"/>
          <w:sz w:val="27"/>
          <w:szCs w:val="27"/>
        </w:rPr>
        <w:t>Risks</w:t>
      </w:r>
    </w:p>
    <w:p w14:paraId="455DAEC0" w14:textId="77777777" w:rsidR="00E6767F" w:rsidRDefault="00E6767F" w:rsidP="00E6767F">
      <w:pPr>
        <w:pStyle w:val="ListParagraph"/>
        <w:tabs>
          <w:tab w:val="left" w:pos="5610"/>
        </w:tabs>
        <w:ind w:right="81"/>
        <w:rPr>
          <w:rFonts w:cs="Arial"/>
          <w:szCs w:val="24"/>
          <w:lang w:val="en-US"/>
        </w:rPr>
      </w:pPr>
    </w:p>
    <w:p w14:paraId="0B289C2F" w14:textId="22AC419B" w:rsidR="00C53F1A" w:rsidRPr="00E6767F" w:rsidRDefault="00C53F1A" w:rsidP="00E6767F">
      <w:pPr>
        <w:pStyle w:val="ListParagraph"/>
        <w:tabs>
          <w:tab w:val="left" w:pos="5610"/>
        </w:tabs>
        <w:ind w:left="0" w:right="81"/>
        <w:rPr>
          <w:rFonts w:cs="Arial"/>
          <w:color w:val="0000FF"/>
        </w:rPr>
      </w:pPr>
      <w:r w:rsidRPr="00E6767F">
        <w:rPr>
          <w:rFonts w:cs="Arial"/>
          <w:szCs w:val="24"/>
          <w:lang w:val="en-US"/>
        </w:rPr>
        <w:t xml:space="preserve">Risks included on corporate or directorate risk register? </w:t>
      </w:r>
      <w:r w:rsidR="009B7B3F" w:rsidRPr="00E6767F">
        <w:rPr>
          <w:rFonts w:cs="Arial"/>
          <w:b/>
          <w:bCs/>
          <w:szCs w:val="24"/>
          <w:lang w:val="en-US"/>
        </w:rPr>
        <w:t>No</w:t>
      </w:r>
      <w:r w:rsidR="007A5584" w:rsidRPr="00E6767F">
        <w:rPr>
          <w:rFonts w:cs="Arial"/>
          <w:b/>
          <w:bCs/>
          <w:szCs w:val="24"/>
          <w:lang w:val="en-US"/>
        </w:rPr>
        <w:t xml:space="preserve"> </w:t>
      </w:r>
      <w:r w:rsidRPr="00E6767F">
        <w:rPr>
          <w:rFonts w:cs="Arial"/>
          <w:szCs w:val="24"/>
          <w:lang w:val="en-US"/>
        </w:rPr>
        <w:t xml:space="preserve"> </w:t>
      </w:r>
    </w:p>
    <w:p w14:paraId="2FFC64C8" w14:textId="77777777" w:rsidR="00C53F1A" w:rsidRPr="000D5F1E" w:rsidRDefault="00C53F1A" w:rsidP="00105B8A">
      <w:pPr>
        <w:ind w:left="-142" w:right="141"/>
        <w:rPr>
          <w:rFonts w:cs="Arial"/>
          <w:szCs w:val="24"/>
          <w:lang w:val="en-US" w:eastAsia="en-GB"/>
        </w:rPr>
      </w:pPr>
      <w:r w:rsidRPr="000D5F1E">
        <w:rPr>
          <w:rFonts w:cs="Arial"/>
          <w:szCs w:val="24"/>
          <w:lang w:val="en-US" w:eastAsia="en-GB"/>
        </w:rPr>
        <w:t xml:space="preserve">  </w:t>
      </w:r>
    </w:p>
    <w:p w14:paraId="00B31EDB" w14:textId="0155FD84" w:rsidR="00C53F1A" w:rsidRPr="00B90BA1" w:rsidRDefault="00C53F1A" w:rsidP="00105B8A">
      <w:pPr>
        <w:ind w:left="-142" w:right="141" w:firstLine="142"/>
        <w:rPr>
          <w:rFonts w:cs="Arial"/>
          <w:color w:val="4F81BD" w:themeColor="accent1"/>
          <w:szCs w:val="24"/>
          <w:lang w:val="en-US" w:eastAsia="en-GB"/>
        </w:rPr>
      </w:pPr>
      <w:r w:rsidRPr="000D5F1E">
        <w:rPr>
          <w:rFonts w:cs="Arial"/>
          <w:szCs w:val="24"/>
          <w:lang w:val="en-US" w:eastAsia="en-GB"/>
        </w:rPr>
        <w:t>Separate risk register in</w:t>
      </w:r>
      <w:r w:rsidRPr="00B90BA1">
        <w:rPr>
          <w:rFonts w:cs="Arial"/>
          <w:szCs w:val="24"/>
          <w:lang w:val="en-US" w:eastAsia="en-GB"/>
        </w:rPr>
        <w:t xml:space="preserve"> place? </w:t>
      </w:r>
      <w:r w:rsidR="000B1A1C">
        <w:rPr>
          <w:rFonts w:cs="Arial"/>
          <w:b/>
          <w:bCs/>
          <w:szCs w:val="24"/>
          <w:lang w:val="en-US" w:eastAsia="en-GB"/>
        </w:rPr>
        <w:t>No</w:t>
      </w:r>
    </w:p>
    <w:p w14:paraId="72B374FF" w14:textId="77777777" w:rsidR="00C53F1A" w:rsidRPr="00B90BA1" w:rsidRDefault="00C53F1A" w:rsidP="00105B8A">
      <w:pPr>
        <w:tabs>
          <w:tab w:val="left" w:pos="5610"/>
        </w:tabs>
        <w:ind w:left="567" w:right="81" w:hanging="567"/>
        <w:rPr>
          <w:rFonts w:cs="Arial"/>
        </w:rPr>
      </w:pPr>
    </w:p>
    <w:p w14:paraId="2E054B04" w14:textId="14A7AEFF" w:rsidR="00C53F1A" w:rsidRPr="00B90BA1" w:rsidRDefault="00C53F1A" w:rsidP="00105B8A">
      <w:pPr>
        <w:tabs>
          <w:tab w:val="left" w:pos="5610"/>
        </w:tabs>
        <w:ind w:right="81"/>
        <w:rPr>
          <w:rFonts w:cs="Arial"/>
        </w:rPr>
      </w:pPr>
      <w:r w:rsidRPr="00B90BA1">
        <w:rPr>
          <w:rFonts w:cs="Arial"/>
        </w:rPr>
        <w:t xml:space="preserve">The relevant risks contained in the register are attached/summarised below. </w:t>
      </w:r>
      <w:r w:rsidRPr="00B90BA1">
        <w:rPr>
          <w:rFonts w:cs="Arial"/>
          <w:b/>
          <w:bCs/>
          <w:szCs w:val="24"/>
          <w:lang w:val="en-US" w:eastAsia="en-GB"/>
        </w:rPr>
        <w:t>Yes</w:t>
      </w:r>
    </w:p>
    <w:p w14:paraId="45AEB19F" w14:textId="77777777" w:rsidR="00105B8A" w:rsidRPr="00B90BA1" w:rsidRDefault="00105B8A" w:rsidP="00105B8A">
      <w:pPr>
        <w:rPr>
          <w:rFonts w:cs="Arial"/>
        </w:rPr>
      </w:pPr>
    </w:p>
    <w:p w14:paraId="68B1512C" w14:textId="2759935A" w:rsidR="00C53F1A" w:rsidRPr="00B90BA1" w:rsidRDefault="00C53F1A" w:rsidP="00105B8A">
      <w:pPr>
        <w:rPr>
          <w:rFonts w:cs="Arial"/>
        </w:rPr>
      </w:pPr>
      <w:r w:rsidRPr="00B90BA1">
        <w:rPr>
          <w:rFonts w:cs="Arial"/>
        </w:rPr>
        <w:t xml:space="preserve">The following key risks should be taken </w:t>
      </w:r>
      <w:r w:rsidR="00105B8A" w:rsidRPr="00B90BA1">
        <w:rPr>
          <w:rFonts w:cs="Arial"/>
        </w:rPr>
        <w:t>i</w:t>
      </w:r>
      <w:r w:rsidRPr="00B90BA1">
        <w:rPr>
          <w:rFonts w:cs="Arial"/>
        </w:rPr>
        <w:t>nto account when agreeing the recommendations in this report:</w:t>
      </w:r>
    </w:p>
    <w:p w14:paraId="7583FA52" w14:textId="77777777" w:rsidR="00C53F1A" w:rsidRPr="00B90BA1"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380F87" w:rsidRPr="00B90BA1" w14:paraId="1404D484" w14:textId="77777777" w:rsidTr="2D363C9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p w14:paraId="756F1795" w14:textId="77777777" w:rsidR="00380F87" w:rsidRPr="00B90BA1" w:rsidRDefault="00380F87" w:rsidP="00666C17">
            <w:pPr>
              <w:spacing w:line="247" w:lineRule="auto"/>
              <w:ind w:right="141"/>
              <w:rPr>
                <w:rFonts w:cs="Arial"/>
                <w:b/>
                <w:bCs/>
                <w:szCs w:val="24"/>
                <w:lang w:val="en-US" w:eastAsia="en-GB"/>
              </w:rPr>
            </w:pPr>
            <w:r w:rsidRPr="00B90BA1">
              <w:rPr>
                <w:rFonts w:cs="Arial"/>
                <w:b/>
                <w:bCs/>
                <w:szCs w:val="24"/>
                <w:lang w:val="en-US" w:eastAsia="en-GB"/>
              </w:rPr>
              <w:lastRenderedPageBreak/>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Pr="00B90BA1" w:rsidRDefault="00380F87" w:rsidP="00666C17">
            <w:pPr>
              <w:spacing w:line="247" w:lineRule="auto"/>
              <w:ind w:right="141"/>
              <w:rPr>
                <w:rFonts w:cs="Arial"/>
                <w:b/>
                <w:bCs/>
                <w:szCs w:val="24"/>
                <w:lang w:val="en-US" w:eastAsia="en-GB"/>
              </w:rPr>
            </w:pPr>
            <w:r w:rsidRPr="00B90BA1">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Pr="00B90BA1" w:rsidRDefault="00380F87" w:rsidP="00666C17">
            <w:pPr>
              <w:spacing w:line="247" w:lineRule="auto"/>
              <w:ind w:left="171" w:right="141"/>
              <w:rPr>
                <w:rFonts w:cs="Arial"/>
                <w:b/>
                <w:bCs/>
                <w:szCs w:val="24"/>
                <w:lang w:val="en-US" w:eastAsia="en-GB"/>
              </w:rPr>
            </w:pPr>
            <w:r w:rsidRPr="00B90BA1">
              <w:rPr>
                <w:rFonts w:cs="Arial"/>
                <w:b/>
                <w:bCs/>
                <w:szCs w:val="24"/>
                <w:lang w:val="en-US" w:eastAsia="en-GB"/>
              </w:rPr>
              <w:t>RAG Status</w:t>
            </w:r>
          </w:p>
        </w:tc>
      </w:tr>
      <w:tr w:rsidR="00467814" w:rsidRPr="00B90BA1" w14:paraId="401BFE5E" w14:textId="77777777" w:rsidTr="0067419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01ADDE" w14:textId="7D2C709E" w:rsidR="00467814" w:rsidRPr="00F93C32" w:rsidRDefault="00467814" w:rsidP="00E15685">
            <w:pPr>
              <w:spacing w:line="247" w:lineRule="auto"/>
              <w:ind w:right="141"/>
            </w:pPr>
            <w:r>
              <w:t xml:space="preserve">If the recommendation(s) </w:t>
            </w:r>
            <w:r w:rsidR="006B27A4">
              <w:t xml:space="preserve">of the report </w:t>
            </w:r>
            <w:r>
              <w:t>are not agreed</w:t>
            </w:r>
            <w:r w:rsidR="00396DB5">
              <w:t xml:space="preserve">, </w:t>
            </w:r>
            <w:r>
              <w:t xml:space="preserve">anticipated </w:t>
            </w:r>
            <w:r w:rsidR="006B27A4">
              <w:t xml:space="preserve">revenue savings and </w:t>
            </w:r>
            <w:r>
              <w:t xml:space="preserve">capital receipts </w:t>
            </w:r>
            <w:r w:rsidR="00674190">
              <w:t xml:space="preserve">(to be re-invested in the Council’s estate) that are </w:t>
            </w:r>
            <w:r>
              <w:t xml:space="preserve">identified </w:t>
            </w:r>
            <w:r w:rsidR="006B27A4">
              <w:t xml:space="preserve">for </w:t>
            </w:r>
            <w:r>
              <w:t xml:space="preserve">the MTFS for </w:t>
            </w:r>
            <w:r w:rsidR="00E86255">
              <w:t>24/25</w:t>
            </w:r>
            <w:r>
              <w:t xml:space="preserve"> would not materialise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77E0A3" w14:textId="13859B5A" w:rsidR="00467814" w:rsidRPr="00F93C32" w:rsidRDefault="00467814" w:rsidP="00674190">
            <w:pPr>
              <w:pStyle w:val="ListParagraph"/>
              <w:numPr>
                <w:ilvl w:val="0"/>
                <w:numId w:val="7"/>
              </w:numPr>
              <w:suppressAutoHyphens/>
              <w:autoSpaceDN w:val="0"/>
              <w:spacing w:line="247" w:lineRule="auto"/>
              <w:ind w:left="164" w:right="141" w:hanging="164"/>
            </w:pPr>
            <w:r>
              <w:t>Agreement</w:t>
            </w:r>
            <w:r w:rsidR="006B27A4">
              <w:t xml:space="preserve"> to </w:t>
            </w:r>
            <w:r>
              <w:t xml:space="preserve">the report’s </w:t>
            </w:r>
            <w:r w:rsidR="00674190">
              <w:t xml:space="preserve">proposed </w:t>
            </w:r>
            <w:r>
              <w:t>recommendation</w:t>
            </w:r>
            <w:r w:rsidR="006B27A4">
              <w:t>(</w:t>
            </w:r>
            <w:r>
              <w:t>s</w:t>
            </w:r>
            <w:r w:rsidR="006B27A4">
              <w:t>)</w:t>
            </w:r>
            <w:r>
              <w:t xml:space="preserve"> will mitigate this risk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1AF18F87" w14:textId="3B32B552" w:rsidR="00467814" w:rsidRPr="00674190" w:rsidRDefault="00467814" w:rsidP="00674190">
            <w:pPr>
              <w:spacing w:line="247" w:lineRule="auto"/>
              <w:ind w:right="141"/>
              <w:jc w:val="center"/>
              <w:rPr>
                <w:rFonts w:cs="Arial"/>
                <w:b/>
                <w:bCs/>
                <w:szCs w:val="24"/>
                <w:lang w:val="en-US" w:eastAsia="en-GB"/>
              </w:rPr>
            </w:pPr>
            <w:r w:rsidRPr="00674190">
              <w:rPr>
                <w:rFonts w:cs="Arial"/>
                <w:b/>
                <w:bCs/>
                <w:szCs w:val="24"/>
                <w:lang w:val="en-US" w:eastAsia="en-GB"/>
              </w:rPr>
              <w:t>G</w:t>
            </w:r>
            <w:r w:rsidR="00674190" w:rsidRPr="00674190">
              <w:rPr>
                <w:rFonts w:cs="Arial"/>
                <w:b/>
                <w:bCs/>
                <w:szCs w:val="24"/>
                <w:lang w:val="en-US" w:eastAsia="en-GB"/>
              </w:rPr>
              <w:t>REEN</w:t>
            </w:r>
          </w:p>
        </w:tc>
      </w:tr>
      <w:tr w:rsidR="00E15685" w:rsidRPr="00B90BA1" w14:paraId="6C6E1FE3" w14:textId="77777777" w:rsidTr="0067419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9FB4D6" w14:textId="09792C72" w:rsidR="00E15685" w:rsidRPr="00B90BA1" w:rsidRDefault="00E15685" w:rsidP="00E15685">
            <w:pPr>
              <w:spacing w:line="247" w:lineRule="auto"/>
              <w:ind w:right="141"/>
              <w:rPr>
                <w:rFonts w:cs="Arial"/>
                <w:szCs w:val="24"/>
                <w:lang w:val="en-US" w:eastAsia="en-GB"/>
              </w:rPr>
            </w:pPr>
            <w:r w:rsidRPr="00F93C32">
              <w:t xml:space="preserve">Sale will not complete due to proposed buyer failing to proceed with the purchase.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D9B0CD" w14:textId="77777777" w:rsidR="00674190" w:rsidRPr="00674190" w:rsidRDefault="00E15685" w:rsidP="00674190">
            <w:pPr>
              <w:pStyle w:val="ListParagraph"/>
              <w:numPr>
                <w:ilvl w:val="0"/>
                <w:numId w:val="7"/>
              </w:numPr>
              <w:suppressAutoHyphens/>
              <w:autoSpaceDN w:val="0"/>
              <w:spacing w:line="247" w:lineRule="auto"/>
              <w:ind w:left="164" w:right="141" w:hanging="164"/>
              <w:rPr>
                <w:rFonts w:cs="Arial"/>
                <w:szCs w:val="24"/>
                <w:lang w:val="en-US"/>
              </w:rPr>
            </w:pPr>
            <w:r w:rsidRPr="00F93C32">
              <w:t>Undertaking due diligence on the buyer prior to seeking authority to dispose and ensuring that provisional Heads of Terms are agreed.</w:t>
            </w:r>
          </w:p>
          <w:p w14:paraId="2EE9683C" w14:textId="5F5242CE" w:rsidR="00E15685" w:rsidRPr="00674190" w:rsidRDefault="00B53244" w:rsidP="00674190">
            <w:pPr>
              <w:pStyle w:val="ListParagraph"/>
              <w:numPr>
                <w:ilvl w:val="0"/>
                <w:numId w:val="7"/>
              </w:numPr>
              <w:suppressAutoHyphens/>
              <w:autoSpaceDN w:val="0"/>
              <w:spacing w:line="247" w:lineRule="auto"/>
              <w:ind w:left="164" w:right="141" w:hanging="164"/>
              <w:rPr>
                <w:rFonts w:cs="Arial"/>
                <w:szCs w:val="24"/>
                <w:lang w:val="en-US"/>
              </w:rPr>
            </w:pPr>
            <w:r>
              <w:t>Maintaining</w:t>
            </w:r>
            <w:r w:rsidR="00E15685">
              <w:t xml:space="preserve"> competitive tension </w:t>
            </w:r>
            <w:r>
              <w:t>throughout</w:t>
            </w:r>
            <w:r w:rsidR="00E15685">
              <w:t xml:space="preserve"> and/or </w:t>
            </w:r>
            <w:r>
              <w:t>securing</w:t>
            </w:r>
            <w:r w:rsidR="00E15685">
              <w:t xml:space="preserve"> buyer </w:t>
            </w:r>
            <w:r w:rsidR="00822663">
              <w:t>‘tie-in’ through non-</w:t>
            </w:r>
            <w:r>
              <w:t>refundable</w:t>
            </w:r>
            <w:r w:rsidR="00822663">
              <w:t xml:space="preserve"> </w:t>
            </w:r>
            <w:r>
              <w:t>deposits</w:t>
            </w:r>
            <w:r w:rsidR="00822663">
              <w:t xml:space="preserve"> etc.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4B508E41" w14:textId="32E09875" w:rsidR="00E15685" w:rsidRPr="00674190" w:rsidRDefault="0051181C" w:rsidP="00674190">
            <w:pPr>
              <w:spacing w:line="247" w:lineRule="auto"/>
              <w:ind w:right="141"/>
              <w:jc w:val="center"/>
              <w:rPr>
                <w:rFonts w:cs="Arial"/>
                <w:b/>
                <w:bCs/>
                <w:szCs w:val="24"/>
                <w:lang w:val="en-US" w:eastAsia="en-GB"/>
              </w:rPr>
            </w:pPr>
            <w:r w:rsidRPr="00674190">
              <w:rPr>
                <w:rFonts w:cs="Arial"/>
                <w:b/>
                <w:bCs/>
                <w:szCs w:val="24"/>
                <w:lang w:val="en-US" w:eastAsia="en-GB"/>
              </w:rPr>
              <w:t>A</w:t>
            </w:r>
            <w:r w:rsidR="00674190" w:rsidRPr="00674190">
              <w:rPr>
                <w:rFonts w:cs="Arial"/>
                <w:b/>
                <w:bCs/>
                <w:szCs w:val="24"/>
                <w:lang w:val="en-US" w:eastAsia="en-GB"/>
              </w:rPr>
              <w:t>MBER</w:t>
            </w:r>
          </w:p>
        </w:tc>
      </w:tr>
      <w:tr w:rsidR="00674190" w:rsidRPr="00B90BA1" w14:paraId="70CBA4F2" w14:textId="77777777" w:rsidTr="0067419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A2363D" w14:textId="3341D412" w:rsidR="00674190" w:rsidRPr="00B90BA1" w:rsidRDefault="00674190" w:rsidP="00674190">
            <w:pPr>
              <w:spacing w:line="247" w:lineRule="auto"/>
              <w:ind w:right="141"/>
              <w:rPr>
                <w:rFonts w:cs="Arial"/>
                <w:szCs w:val="24"/>
                <w:lang w:val="en-US" w:eastAsia="en-GB"/>
              </w:rPr>
            </w:pPr>
            <w:r>
              <w:t>Reduction in receipts owing to a downturn in market conditions/values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77018" w14:textId="040D8A29" w:rsidR="00674190" w:rsidRPr="00674190" w:rsidRDefault="00674190" w:rsidP="00674190">
            <w:pPr>
              <w:pStyle w:val="ListParagraph"/>
              <w:numPr>
                <w:ilvl w:val="0"/>
                <w:numId w:val="10"/>
              </w:numPr>
              <w:suppressAutoHyphens/>
              <w:autoSpaceDN w:val="0"/>
              <w:spacing w:line="247" w:lineRule="auto"/>
              <w:ind w:left="164" w:right="141" w:hanging="164"/>
              <w:rPr>
                <w:rFonts w:cs="Arial"/>
                <w:szCs w:val="24"/>
                <w:lang w:val="en-US"/>
              </w:rPr>
            </w:pPr>
            <w:r>
              <w:t>Acceleration of the programme so that where anticipated receipts are significantly below expectations, alternative options are considered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38640975" w14:textId="748361AF" w:rsidR="00674190" w:rsidRPr="00B90BA1" w:rsidRDefault="00674190" w:rsidP="00674190">
            <w:pPr>
              <w:spacing w:line="247" w:lineRule="auto"/>
              <w:ind w:right="141"/>
              <w:jc w:val="center"/>
              <w:rPr>
                <w:rFonts w:cs="Arial"/>
                <w:szCs w:val="24"/>
                <w:lang w:val="en-US" w:eastAsia="en-GB"/>
              </w:rPr>
            </w:pPr>
            <w:r w:rsidRPr="00674190">
              <w:rPr>
                <w:rFonts w:cs="Arial"/>
                <w:b/>
                <w:bCs/>
                <w:szCs w:val="24"/>
                <w:lang w:val="en-US" w:eastAsia="en-GB"/>
              </w:rPr>
              <w:t>AMBER</w:t>
            </w:r>
          </w:p>
        </w:tc>
      </w:tr>
      <w:tr w:rsidR="00674190" w:rsidRPr="00B90BA1" w14:paraId="56142533" w14:textId="77777777" w:rsidTr="0067419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126EA4" w14:textId="49239C26" w:rsidR="00674190" w:rsidRPr="00B90BA1" w:rsidRDefault="00674190" w:rsidP="00674190">
            <w:pPr>
              <w:spacing w:line="247" w:lineRule="auto"/>
              <w:ind w:right="141"/>
              <w:rPr>
                <w:rFonts w:cs="Arial"/>
                <w:szCs w:val="24"/>
                <w:lang w:val="en-US" w:eastAsia="en-GB"/>
              </w:rPr>
            </w:pPr>
            <w:r>
              <w:t>Delay in a disposal owing to an unforeseen serious defect with the asset or title such that it cannot be resolved within the financial period.</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2B41A1" w14:textId="7A8BC67E" w:rsidR="00674190" w:rsidRPr="00674190" w:rsidRDefault="00674190" w:rsidP="00674190">
            <w:pPr>
              <w:pStyle w:val="ListParagraph"/>
              <w:numPr>
                <w:ilvl w:val="0"/>
                <w:numId w:val="10"/>
              </w:numPr>
              <w:suppressAutoHyphens/>
              <w:autoSpaceDN w:val="0"/>
              <w:spacing w:line="247" w:lineRule="auto"/>
              <w:ind w:left="164" w:right="141" w:hanging="164"/>
              <w:rPr>
                <w:rFonts w:cs="Arial"/>
                <w:szCs w:val="24"/>
                <w:lang w:val="en-US"/>
              </w:rPr>
            </w:pPr>
            <w:r w:rsidRPr="00674190">
              <w:rPr>
                <w:rFonts w:cs="Arial"/>
                <w:szCs w:val="24"/>
                <w:lang w:val="en-US"/>
              </w:rPr>
              <w:t>Commence pre-marketing due-diligence, including legal searches as soon as possible.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4E816BDF" w14:textId="6F476803" w:rsidR="00674190" w:rsidRPr="00B90BA1" w:rsidRDefault="00674190" w:rsidP="00674190">
            <w:pPr>
              <w:spacing w:line="247" w:lineRule="auto"/>
              <w:ind w:right="141"/>
              <w:jc w:val="center"/>
              <w:rPr>
                <w:rFonts w:cs="Arial"/>
                <w:szCs w:val="24"/>
                <w:lang w:val="en-US" w:eastAsia="en-GB"/>
              </w:rPr>
            </w:pPr>
            <w:r w:rsidRPr="00674190">
              <w:rPr>
                <w:rFonts w:cs="Arial"/>
                <w:b/>
                <w:bCs/>
                <w:szCs w:val="24"/>
                <w:lang w:val="en-US" w:eastAsia="en-GB"/>
              </w:rPr>
              <w:t>AMBER</w:t>
            </w:r>
          </w:p>
        </w:tc>
      </w:tr>
    </w:tbl>
    <w:bookmarkEnd w:id="1"/>
    <w:bookmarkEnd w:id="2"/>
    <w:p w14:paraId="0249BBDB" w14:textId="40F38A49" w:rsidR="002A3FEF" w:rsidRPr="00B90BA1" w:rsidRDefault="00D174E5" w:rsidP="00A1211C">
      <w:pPr>
        <w:pStyle w:val="Heading3"/>
        <w:spacing w:before="480" w:after="240"/>
      </w:pPr>
      <w:r>
        <w:t>5</w:t>
      </w:r>
      <w:r w:rsidR="00A65876">
        <w:t>.</w:t>
      </w:r>
      <w:r>
        <w:tab/>
      </w:r>
      <w:r w:rsidR="002A3FEF" w:rsidRPr="00421447">
        <w:rPr>
          <w:rFonts w:ascii="Arial Black" w:hAnsi="Arial Black"/>
        </w:rPr>
        <w:t>Procurement Implications</w:t>
      </w:r>
    </w:p>
    <w:p w14:paraId="08C378D9" w14:textId="55988A45" w:rsidR="00C01E05" w:rsidRDefault="00A65876" w:rsidP="00AD1E77">
      <w:r>
        <w:t>5.1</w:t>
      </w:r>
      <w:r>
        <w:tab/>
      </w:r>
      <w:r w:rsidR="00F777A2">
        <w:t xml:space="preserve">The disposal programme will largely be delivered by existing Council resources </w:t>
      </w:r>
      <w:r w:rsidR="00466226">
        <w:t>in Corporate Estates</w:t>
      </w:r>
      <w:r w:rsidR="00F777A2">
        <w:t>, working closely with Legal and Finance. However, some activities will need to be provided by external property consultants including the preparation of due diligence and marketing packs in order to meet the desired timescale</w:t>
      </w:r>
      <w:r w:rsidR="00C010A6">
        <w:t xml:space="preserve">.  </w:t>
      </w:r>
      <w:r w:rsidR="00466226">
        <w:t>Any e</w:t>
      </w:r>
      <w:r w:rsidR="00F777A2">
        <w:t xml:space="preserve">xternal property consultants will be procured in accordance with the </w:t>
      </w:r>
      <w:r w:rsidR="00466226">
        <w:t xml:space="preserve">Council’s Contract Procedure Rules. </w:t>
      </w:r>
    </w:p>
    <w:p w14:paraId="44413A6E" w14:textId="6AF6509B" w:rsidR="00333FAA" w:rsidRPr="00421447" w:rsidRDefault="00A65876" w:rsidP="00A65876">
      <w:pPr>
        <w:pStyle w:val="Heading3"/>
        <w:spacing w:before="480" w:after="240"/>
        <w:ind w:left="0" w:firstLine="0"/>
        <w:rPr>
          <w:rFonts w:ascii="Arial Black" w:hAnsi="Arial Black"/>
        </w:rPr>
      </w:pPr>
      <w:r>
        <w:t>6.</w:t>
      </w:r>
      <w:r>
        <w:tab/>
      </w:r>
      <w:r w:rsidR="00333FAA" w:rsidRPr="00421447">
        <w:rPr>
          <w:rFonts w:ascii="Arial Black" w:hAnsi="Arial Black"/>
        </w:rPr>
        <w:t>Legal Implications</w:t>
      </w:r>
    </w:p>
    <w:p w14:paraId="4F907EFE" w14:textId="38756C9F" w:rsidR="00BF21AB" w:rsidRDefault="00A65876" w:rsidP="00A1211C">
      <w:r>
        <w:t>6.1</w:t>
      </w:r>
      <w:r>
        <w:tab/>
      </w:r>
      <w:r w:rsidR="008C4C5E">
        <w:t>In contemplation of the Council’s ability to appropriate the property from the Housing Revenue Account (where it is currently held) to the General Fund, the Council has the power to do this pursuant to s</w:t>
      </w:r>
      <w:r w:rsidR="00A92DE6">
        <w:t xml:space="preserve">ection 122 Local </w:t>
      </w:r>
      <w:r w:rsidR="00A92DE6">
        <w:lastRenderedPageBreak/>
        <w:t>Government Act 1972</w:t>
      </w:r>
      <w:r w:rsidR="008C4C5E">
        <w:t xml:space="preserve"> (“Section 122”).</w:t>
      </w:r>
      <w:r w:rsidR="00A92DE6">
        <w:t xml:space="preserve"> </w:t>
      </w:r>
      <w:r w:rsidR="008C4C5E">
        <w:t xml:space="preserve"> Section 122 </w:t>
      </w:r>
      <w:r w:rsidR="00A92DE6">
        <w:t>states that a Council may appropriate for any purpose for which the Council is authorised, any land which belongs to the Council and is no longer required for the purpose for which it is held immediately before the appropriation, subject to the requirement to obtain Secretary of State consent (if required).</w:t>
      </w:r>
      <w:r w:rsidR="0032310C">
        <w:t xml:space="preserve">  As the property is no longer considered appropriate for housing purposes, the Council may exercise its power under section 122 Local Government Act 1972.</w:t>
      </w:r>
    </w:p>
    <w:p w14:paraId="0BD4F392" w14:textId="77777777" w:rsidR="00D719F5" w:rsidRDefault="00D719F5" w:rsidP="00A1211C"/>
    <w:p w14:paraId="1CA9759F" w14:textId="1FCA05B0" w:rsidR="00CE61A8" w:rsidRDefault="008C4C5E" w:rsidP="00A1211C">
      <w:r>
        <w:t>With regard to subsequent disposal of the property, p</w:t>
      </w:r>
      <w:r w:rsidR="00693747">
        <w:t>ursuant to S</w:t>
      </w:r>
      <w:r w:rsidR="00063BF3">
        <w:t>ection</w:t>
      </w:r>
      <w:r w:rsidR="00693747">
        <w:t>123 of the Local Government Act 1972 the Council has the power to dispose</w:t>
      </w:r>
      <w:r w:rsidR="00162847">
        <w:t xml:space="preserve"> of</w:t>
      </w:r>
      <w:r w:rsidR="00693747">
        <w:t xml:space="preserve"> land in any manner it wishes, subject to certain provisions. </w:t>
      </w:r>
      <w:r w:rsidR="56851F3D">
        <w:t>The Council has the statutory duty to obtain the best price reasonabl</w:t>
      </w:r>
      <w:r w:rsidR="5423149B">
        <w:t>y obtainable</w:t>
      </w:r>
      <w:r w:rsidR="56851F3D">
        <w:t xml:space="preserve"> subject to certain exemptions.</w:t>
      </w:r>
    </w:p>
    <w:p w14:paraId="56750195" w14:textId="77777777" w:rsidR="00BF4FFD" w:rsidRDefault="00BF4FFD" w:rsidP="00BF4FFD"/>
    <w:p w14:paraId="61CAA065" w14:textId="2BA687FB" w:rsidR="00BF4FFD" w:rsidRDefault="00A65876" w:rsidP="00BF4FFD">
      <w:r>
        <w:t>6.2</w:t>
      </w:r>
      <w:r>
        <w:tab/>
      </w:r>
      <w:r w:rsidR="5475AF6C">
        <w:t xml:space="preserve">When considering the duty under </w:t>
      </w:r>
      <w:r w:rsidR="00091F77">
        <w:t>section</w:t>
      </w:r>
      <w:r w:rsidR="5475AF6C">
        <w:t xml:space="preserve"> 123, what is reasonably obtainable in any particular case depends entirely on the facts of the transaction.  </w:t>
      </w:r>
      <w:r w:rsidR="5E9618D1">
        <w:t>Case law has determined that whilst there is no absolute requirement to market the land or obtain an independent valuation, if valuation evidence is obtained, it should be up to date and that there should not have been any material and significant changes in circumstances since it was obtained. In addition, obtaining proper professional advice throughout the process on how to maximise its receipts is a material consideration and the Council should limit itself to taking account of those elements of a transaction which are of commercial or monetary value and should disregard irrelevant factors such as “job creation” when assessing whether it is obtaining the best consideration reasonably obtainable. The deliverability or credibility of a bid are commercial factors which are relevant to an assessment.</w:t>
      </w:r>
    </w:p>
    <w:p w14:paraId="357838C8" w14:textId="77777777" w:rsidR="00BF4FFD" w:rsidRDefault="00BF4FFD" w:rsidP="00BF4FFD"/>
    <w:p w14:paraId="60270E52" w14:textId="08AAD60D" w:rsidR="00BF4FFD" w:rsidRDefault="00A65876" w:rsidP="00BF4FFD">
      <w:r>
        <w:t>6.3</w:t>
      </w:r>
      <w:r>
        <w:tab/>
      </w:r>
      <w:r w:rsidR="5E9618D1">
        <w:t>A report on title will be commissioned to ascertain whether there are any impediments to the disposal of the asset.</w:t>
      </w:r>
    </w:p>
    <w:p w14:paraId="377479EC" w14:textId="3D519C5C" w:rsidR="77A817D7" w:rsidRDefault="77A817D7" w:rsidP="77A817D7"/>
    <w:p w14:paraId="0158664E" w14:textId="36C8A992" w:rsidR="00C1524C" w:rsidRDefault="00A65876" w:rsidP="00BF4FFD">
      <w:r>
        <w:t>6.4</w:t>
      </w:r>
      <w:r>
        <w:tab/>
      </w:r>
      <w:r w:rsidR="1D3AFE03">
        <w:t xml:space="preserve">If it is intended for the </w:t>
      </w:r>
      <w:r w:rsidR="004B42FB">
        <w:t xml:space="preserve">property </w:t>
      </w:r>
      <w:r w:rsidR="1D3AFE03">
        <w:t>to be developed and the Council disposes of the freehold, it will no longer have control over its use as land owner</w:t>
      </w:r>
      <w:r w:rsidR="34CBBF69">
        <w:t xml:space="preserve">.  Any future development will be subject to </w:t>
      </w:r>
      <w:r w:rsidR="009A293A">
        <w:t>planning permission, as required</w:t>
      </w:r>
      <w:r w:rsidR="34CBBF69">
        <w:t xml:space="preserve">.  </w:t>
      </w:r>
      <w:r w:rsidR="004343AE">
        <w:t>An overage</w:t>
      </w:r>
      <w:r w:rsidR="34CBBF69">
        <w:t xml:space="preserve"> clause </w:t>
      </w:r>
      <w:r w:rsidR="009A293A">
        <w:t>would</w:t>
      </w:r>
      <w:r w:rsidR="004343AE">
        <w:t xml:space="preserve"> likely</w:t>
      </w:r>
      <w:r w:rsidR="009A293A">
        <w:t xml:space="preserve"> be appropriate</w:t>
      </w:r>
      <w:r w:rsidR="34CBBF69">
        <w:t xml:space="preserve"> in the sale contract</w:t>
      </w:r>
      <w:r w:rsidR="1A84C866">
        <w:t xml:space="preserve">.  Overage is a means by which a seller can receive additional funds after the sale has been completed if an agreed event takes place, for instance the value of the property increases within a set period of time.  </w:t>
      </w:r>
    </w:p>
    <w:p w14:paraId="11F2AC04" w14:textId="1A1EA594" w:rsidR="00333FAA" w:rsidRPr="00421447" w:rsidRDefault="00A65876" w:rsidP="00A1211C">
      <w:pPr>
        <w:pStyle w:val="Heading3"/>
        <w:spacing w:before="480" w:after="240"/>
        <w:rPr>
          <w:rFonts w:ascii="Arial Black" w:hAnsi="Arial Black"/>
        </w:rPr>
      </w:pPr>
      <w:r>
        <w:t>7.</w:t>
      </w:r>
      <w:r>
        <w:tab/>
      </w:r>
      <w:r w:rsidR="00333FAA" w:rsidRPr="00421447">
        <w:rPr>
          <w:rFonts w:ascii="Arial Black" w:hAnsi="Arial Black"/>
        </w:rPr>
        <w:t>Financial Implications</w:t>
      </w:r>
    </w:p>
    <w:p w14:paraId="6421DDE7" w14:textId="4B606BEB" w:rsidR="00B2317A" w:rsidRDefault="00051CF8" w:rsidP="00AE69A3">
      <w:r>
        <w:t>7.1</w:t>
      </w:r>
      <w:r>
        <w:tab/>
      </w:r>
      <w:r w:rsidR="00B2317A">
        <w:t>The appropriation of a</w:t>
      </w:r>
      <w:r w:rsidR="009C3C29">
        <w:t xml:space="preserve"> housing</w:t>
      </w:r>
      <w:r w:rsidR="00B2317A">
        <w:t xml:space="preserve"> asset from the HRA to the general funds would require the debt financing costs to be transferred as well. Ver</w:t>
      </w:r>
      <w:r w:rsidR="009C3C29">
        <w:t>n</w:t>
      </w:r>
      <w:r w:rsidR="00B2317A">
        <w:t xml:space="preserve">on lodge hostel debt financing costs have always been charged to the general fund and the property </w:t>
      </w:r>
      <w:r w:rsidR="009C3C29">
        <w:t>has never</w:t>
      </w:r>
      <w:r w:rsidR="00B2317A">
        <w:t xml:space="preserve"> </w:t>
      </w:r>
      <w:r w:rsidR="009C3C29">
        <w:t>been</w:t>
      </w:r>
      <w:r w:rsidR="00B2317A">
        <w:t xml:space="preserve"> </w:t>
      </w:r>
      <w:r w:rsidR="009C3C29">
        <w:t>included within the Councils</w:t>
      </w:r>
      <w:r w:rsidR="00BF3318">
        <w:t xml:space="preserve"> HRA stock records. </w:t>
      </w:r>
      <w:r w:rsidR="00B2317A">
        <w:t xml:space="preserve"> </w:t>
      </w:r>
      <w:r w:rsidR="00BF3318">
        <w:t xml:space="preserve">This means there are no debt financing charges to be transferred to the general fund. </w:t>
      </w:r>
      <w:r w:rsidR="00992D4C">
        <w:t>The HRA land the hostel resides</w:t>
      </w:r>
      <w:r w:rsidR="009C3C29">
        <w:t xml:space="preserve"> on</w:t>
      </w:r>
      <w:r w:rsidR="00992D4C">
        <w:t xml:space="preserve"> </w:t>
      </w:r>
      <w:r w:rsidR="009C3C29">
        <w:t xml:space="preserve">will </w:t>
      </w:r>
      <w:r w:rsidR="00992D4C">
        <w:t>also be transferred to the general fund.</w:t>
      </w:r>
    </w:p>
    <w:p w14:paraId="121BA213" w14:textId="77777777" w:rsidR="000A5027" w:rsidRDefault="000A5027" w:rsidP="00AE69A3"/>
    <w:p w14:paraId="5AC61651" w14:textId="71A44D6F" w:rsidR="00AE69A3" w:rsidRDefault="00AE69A3" w:rsidP="00AE69A3">
      <w:r>
        <w:lastRenderedPageBreak/>
        <w:t>The MTFS assumes revenue savings from the application of capital receipts to fund the Capital Programme</w:t>
      </w:r>
      <w:r w:rsidR="007E5EF3">
        <w:t xml:space="preserve"> </w:t>
      </w:r>
      <w:r w:rsidR="0019558E">
        <w:t>as well as</w:t>
      </w:r>
      <w:r w:rsidR="007E5EF3">
        <w:t xml:space="preserve"> transformational costs under Capital Receipts Flexibility Scheme</w:t>
      </w:r>
      <w:r>
        <w:t>. These are summarised in the table below.</w:t>
      </w:r>
    </w:p>
    <w:p w14:paraId="7C530141" w14:textId="77777777" w:rsidR="00AE69A3" w:rsidRDefault="00AE69A3" w:rsidP="00AE69A3"/>
    <w:tbl>
      <w:tblPr>
        <w:tblW w:w="6620" w:type="dxa"/>
        <w:tblInd w:w="113" w:type="dxa"/>
        <w:tblLook w:val="04A0" w:firstRow="1" w:lastRow="0" w:firstColumn="1" w:lastColumn="0" w:noHBand="0" w:noVBand="1"/>
      </w:tblPr>
      <w:tblGrid>
        <w:gridCol w:w="3340"/>
        <w:gridCol w:w="1100"/>
        <w:gridCol w:w="1040"/>
        <w:gridCol w:w="1140"/>
      </w:tblGrid>
      <w:tr w:rsidR="00AE69A3" w:rsidRPr="00741292" w14:paraId="197FCB9F" w14:textId="77777777">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42708" w14:textId="77777777" w:rsidR="00AE69A3" w:rsidRPr="00741292" w:rsidRDefault="00AE69A3">
            <w:pPr>
              <w:rPr>
                <w:rFonts w:cs="Arial"/>
                <w:color w:val="000000"/>
                <w:sz w:val="22"/>
                <w:szCs w:val="22"/>
                <w:lang w:eastAsia="en-GB"/>
              </w:rPr>
            </w:pPr>
            <w:r w:rsidRPr="00741292">
              <w:rPr>
                <w:rFonts w:cs="Arial"/>
                <w:color w:val="000000"/>
                <w:sz w:val="22"/>
                <w:szCs w:val="22"/>
                <w:lang w:eastAsia="en-GB"/>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83A20AA" w14:textId="77777777" w:rsidR="00AE69A3" w:rsidRPr="00741292" w:rsidRDefault="00AE69A3">
            <w:pPr>
              <w:jc w:val="center"/>
              <w:rPr>
                <w:rFonts w:cs="Arial"/>
                <w:b/>
                <w:bCs/>
                <w:color w:val="000000"/>
                <w:sz w:val="22"/>
                <w:szCs w:val="22"/>
                <w:lang w:eastAsia="en-GB"/>
              </w:rPr>
            </w:pPr>
            <w:r w:rsidRPr="00741292">
              <w:rPr>
                <w:rFonts w:cs="Arial"/>
                <w:b/>
                <w:bCs/>
                <w:color w:val="000000"/>
                <w:sz w:val="22"/>
                <w:szCs w:val="22"/>
                <w:lang w:eastAsia="en-GB"/>
              </w:rPr>
              <w:t>2023/24</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90413E4" w14:textId="77777777" w:rsidR="00AE69A3" w:rsidRPr="00741292" w:rsidRDefault="00AE69A3">
            <w:pPr>
              <w:jc w:val="center"/>
              <w:rPr>
                <w:rFonts w:cs="Arial"/>
                <w:b/>
                <w:bCs/>
                <w:color w:val="000000"/>
                <w:sz w:val="22"/>
                <w:szCs w:val="22"/>
                <w:lang w:eastAsia="en-GB"/>
              </w:rPr>
            </w:pPr>
            <w:r w:rsidRPr="00741292">
              <w:rPr>
                <w:rFonts w:cs="Arial"/>
                <w:b/>
                <w:bCs/>
                <w:color w:val="000000"/>
                <w:sz w:val="22"/>
                <w:szCs w:val="22"/>
                <w:lang w:eastAsia="en-GB"/>
              </w:rPr>
              <w:t>2024/25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C7BEEAA" w14:textId="77777777" w:rsidR="00AE69A3" w:rsidRPr="00741292" w:rsidRDefault="00AE69A3">
            <w:pPr>
              <w:jc w:val="center"/>
              <w:rPr>
                <w:rFonts w:cs="Arial"/>
                <w:b/>
                <w:bCs/>
                <w:color w:val="000000"/>
                <w:sz w:val="22"/>
                <w:szCs w:val="22"/>
                <w:lang w:eastAsia="en-GB"/>
              </w:rPr>
            </w:pPr>
            <w:r w:rsidRPr="00741292">
              <w:rPr>
                <w:rFonts w:cs="Arial"/>
                <w:b/>
                <w:bCs/>
                <w:color w:val="000000"/>
                <w:sz w:val="22"/>
                <w:szCs w:val="22"/>
                <w:lang w:eastAsia="en-GB"/>
              </w:rPr>
              <w:t>2025/26</w:t>
            </w:r>
          </w:p>
        </w:tc>
      </w:tr>
      <w:tr w:rsidR="00AE69A3" w:rsidRPr="00741292" w14:paraId="527D021F" w14:textId="77777777">
        <w:trPr>
          <w:trHeight w:val="29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6B360C3" w14:textId="77777777" w:rsidR="00AE69A3" w:rsidRPr="00741292" w:rsidRDefault="00AE69A3">
            <w:pPr>
              <w:rPr>
                <w:rFonts w:cs="Arial"/>
                <w:color w:val="000000"/>
                <w:sz w:val="22"/>
                <w:szCs w:val="22"/>
                <w:lang w:eastAsia="en-GB"/>
              </w:rPr>
            </w:pPr>
            <w:r w:rsidRPr="00741292">
              <w:rPr>
                <w:rFonts w:cs="Arial"/>
                <w:color w:val="000000"/>
                <w:sz w:val="22"/>
                <w:szCs w:val="22"/>
                <w:lang w:eastAsia="en-GB"/>
              </w:rPr>
              <w:t> </w:t>
            </w:r>
          </w:p>
        </w:tc>
        <w:tc>
          <w:tcPr>
            <w:tcW w:w="1100" w:type="dxa"/>
            <w:tcBorders>
              <w:top w:val="nil"/>
              <w:left w:val="nil"/>
              <w:bottom w:val="single" w:sz="4" w:space="0" w:color="auto"/>
              <w:right w:val="single" w:sz="4" w:space="0" w:color="auto"/>
            </w:tcBorders>
            <w:shd w:val="clear" w:color="auto" w:fill="auto"/>
            <w:noWrap/>
            <w:vAlign w:val="center"/>
            <w:hideMark/>
          </w:tcPr>
          <w:p w14:paraId="3A93F60D" w14:textId="77777777" w:rsidR="00AE69A3" w:rsidRPr="00741292" w:rsidRDefault="00AE69A3">
            <w:pPr>
              <w:jc w:val="center"/>
              <w:rPr>
                <w:rFonts w:cs="Arial"/>
                <w:color w:val="000000"/>
                <w:sz w:val="22"/>
                <w:szCs w:val="22"/>
                <w:lang w:eastAsia="en-GB"/>
              </w:rPr>
            </w:pPr>
            <w:r w:rsidRPr="00741292">
              <w:rPr>
                <w:rFonts w:cs="Arial"/>
                <w:color w:val="000000"/>
                <w:sz w:val="22"/>
                <w:szCs w:val="22"/>
                <w:lang w:eastAsia="en-GB"/>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59532910" w14:textId="77777777" w:rsidR="00AE69A3" w:rsidRPr="00741292" w:rsidRDefault="00AE69A3">
            <w:pPr>
              <w:jc w:val="center"/>
              <w:rPr>
                <w:rFonts w:cs="Arial"/>
                <w:color w:val="000000"/>
                <w:sz w:val="22"/>
                <w:szCs w:val="22"/>
                <w:lang w:eastAsia="en-GB"/>
              </w:rPr>
            </w:pPr>
            <w:r w:rsidRPr="00741292">
              <w:rPr>
                <w:rFonts w:cs="Arial"/>
                <w:color w:val="000000"/>
                <w:sz w:val="22"/>
                <w:szCs w:val="22"/>
                <w:lang w:eastAsia="en-GB"/>
              </w:rPr>
              <w:t>£'000</w:t>
            </w:r>
          </w:p>
        </w:tc>
        <w:tc>
          <w:tcPr>
            <w:tcW w:w="1140" w:type="dxa"/>
            <w:tcBorders>
              <w:top w:val="nil"/>
              <w:left w:val="nil"/>
              <w:bottom w:val="single" w:sz="4" w:space="0" w:color="auto"/>
              <w:right w:val="single" w:sz="4" w:space="0" w:color="auto"/>
            </w:tcBorders>
            <w:shd w:val="clear" w:color="auto" w:fill="auto"/>
            <w:noWrap/>
            <w:vAlign w:val="center"/>
            <w:hideMark/>
          </w:tcPr>
          <w:p w14:paraId="665B2A92" w14:textId="77777777" w:rsidR="00AE69A3" w:rsidRPr="00741292" w:rsidRDefault="00AE69A3">
            <w:pPr>
              <w:jc w:val="center"/>
              <w:rPr>
                <w:rFonts w:cs="Arial"/>
                <w:color w:val="000000"/>
                <w:sz w:val="22"/>
                <w:szCs w:val="22"/>
                <w:lang w:eastAsia="en-GB"/>
              </w:rPr>
            </w:pPr>
            <w:r w:rsidRPr="00741292">
              <w:rPr>
                <w:rFonts w:cs="Arial"/>
                <w:color w:val="000000"/>
                <w:sz w:val="22"/>
                <w:szCs w:val="22"/>
                <w:lang w:eastAsia="en-GB"/>
              </w:rPr>
              <w:t>£'000</w:t>
            </w:r>
          </w:p>
        </w:tc>
      </w:tr>
      <w:tr w:rsidR="00AE69A3" w:rsidRPr="00741292" w14:paraId="52AB98D5" w14:textId="77777777">
        <w:trPr>
          <w:trHeight w:val="56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0C74C5C" w14:textId="77777777" w:rsidR="00AE69A3" w:rsidRPr="00741292" w:rsidRDefault="00AE69A3">
            <w:pPr>
              <w:rPr>
                <w:rFonts w:cs="Arial"/>
                <w:color w:val="000000"/>
                <w:sz w:val="22"/>
                <w:szCs w:val="22"/>
                <w:lang w:eastAsia="en-GB"/>
              </w:rPr>
            </w:pPr>
            <w:r w:rsidRPr="00741292">
              <w:rPr>
                <w:rFonts w:cs="Arial"/>
                <w:color w:val="000000"/>
                <w:sz w:val="22"/>
                <w:szCs w:val="22"/>
                <w:lang w:eastAsia="en-GB"/>
              </w:rPr>
              <w:t>Applying capital receipts to fund the Capital Programme</w:t>
            </w:r>
          </w:p>
        </w:tc>
        <w:tc>
          <w:tcPr>
            <w:tcW w:w="1100" w:type="dxa"/>
            <w:tcBorders>
              <w:top w:val="nil"/>
              <w:left w:val="nil"/>
              <w:bottom w:val="single" w:sz="4" w:space="0" w:color="auto"/>
              <w:right w:val="single" w:sz="4" w:space="0" w:color="auto"/>
            </w:tcBorders>
            <w:shd w:val="clear" w:color="auto" w:fill="auto"/>
            <w:noWrap/>
            <w:vAlign w:val="center"/>
            <w:hideMark/>
          </w:tcPr>
          <w:p w14:paraId="18C92AE2" w14:textId="77777777" w:rsidR="00AE69A3" w:rsidRPr="00741292" w:rsidRDefault="00AE69A3">
            <w:pPr>
              <w:jc w:val="right"/>
              <w:rPr>
                <w:rFonts w:cs="Arial"/>
                <w:color w:val="000000"/>
                <w:sz w:val="22"/>
                <w:szCs w:val="22"/>
                <w:lang w:eastAsia="en-GB"/>
              </w:rPr>
            </w:pPr>
            <w:r w:rsidRPr="00741292">
              <w:rPr>
                <w:rFonts w:cs="Arial"/>
                <w:color w:val="000000"/>
                <w:sz w:val="22"/>
                <w:szCs w:val="22"/>
                <w:lang w:eastAsia="en-GB"/>
              </w:rPr>
              <w:t>-1,700</w:t>
            </w:r>
          </w:p>
        </w:tc>
        <w:tc>
          <w:tcPr>
            <w:tcW w:w="1040" w:type="dxa"/>
            <w:tcBorders>
              <w:top w:val="nil"/>
              <w:left w:val="nil"/>
              <w:bottom w:val="single" w:sz="4" w:space="0" w:color="auto"/>
              <w:right w:val="single" w:sz="4" w:space="0" w:color="auto"/>
            </w:tcBorders>
            <w:shd w:val="clear" w:color="auto" w:fill="auto"/>
            <w:noWrap/>
            <w:vAlign w:val="center"/>
            <w:hideMark/>
          </w:tcPr>
          <w:p w14:paraId="787EE22F" w14:textId="77777777" w:rsidR="00AE69A3" w:rsidRPr="00741292" w:rsidRDefault="00AE69A3">
            <w:pPr>
              <w:jc w:val="right"/>
              <w:rPr>
                <w:rFonts w:cs="Arial"/>
                <w:color w:val="000000"/>
                <w:sz w:val="22"/>
                <w:szCs w:val="22"/>
                <w:lang w:eastAsia="en-GB"/>
              </w:rPr>
            </w:pPr>
            <w:r w:rsidRPr="00741292">
              <w:rPr>
                <w:rFonts w:cs="Arial"/>
                <w:color w:val="000000"/>
                <w:sz w:val="22"/>
                <w:szCs w:val="22"/>
                <w:lang w:eastAsia="en-GB"/>
              </w:rPr>
              <w:t>-1,300</w:t>
            </w:r>
          </w:p>
        </w:tc>
        <w:tc>
          <w:tcPr>
            <w:tcW w:w="1140" w:type="dxa"/>
            <w:tcBorders>
              <w:top w:val="nil"/>
              <w:left w:val="nil"/>
              <w:bottom w:val="single" w:sz="4" w:space="0" w:color="auto"/>
              <w:right w:val="single" w:sz="4" w:space="0" w:color="auto"/>
            </w:tcBorders>
            <w:shd w:val="clear" w:color="auto" w:fill="auto"/>
            <w:noWrap/>
            <w:vAlign w:val="center"/>
            <w:hideMark/>
          </w:tcPr>
          <w:p w14:paraId="36B82D38" w14:textId="77777777" w:rsidR="00AE69A3" w:rsidRPr="00741292" w:rsidRDefault="00AE69A3">
            <w:pPr>
              <w:jc w:val="right"/>
              <w:rPr>
                <w:rFonts w:cs="Arial"/>
                <w:color w:val="000000"/>
                <w:sz w:val="22"/>
                <w:szCs w:val="22"/>
                <w:lang w:eastAsia="en-GB"/>
              </w:rPr>
            </w:pPr>
            <w:r w:rsidRPr="00741292">
              <w:rPr>
                <w:rFonts w:cs="Arial"/>
                <w:color w:val="000000"/>
                <w:sz w:val="22"/>
                <w:szCs w:val="22"/>
                <w:lang w:eastAsia="en-GB"/>
              </w:rPr>
              <w:t>-1,300</w:t>
            </w:r>
          </w:p>
        </w:tc>
      </w:tr>
      <w:tr w:rsidR="00AE69A3" w:rsidRPr="00741292" w14:paraId="52F92F75" w14:textId="77777777">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C12F4E7" w14:textId="77777777" w:rsidR="00AE69A3" w:rsidRPr="00741292" w:rsidRDefault="00AE69A3">
            <w:pPr>
              <w:rPr>
                <w:rFonts w:cs="Arial"/>
                <w:color w:val="000000"/>
                <w:sz w:val="22"/>
                <w:szCs w:val="22"/>
                <w:lang w:eastAsia="en-GB"/>
              </w:rPr>
            </w:pPr>
            <w:r w:rsidRPr="00741292">
              <w:rPr>
                <w:rFonts w:cs="Arial"/>
                <w:color w:val="000000"/>
                <w:sz w:val="22"/>
                <w:szCs w:val="22"/>
                <w:lang w:eastAsia="en-GB"/>
              </w:rPr>
              <w:t>Capital Receipts Flexibilities</w:t>
            </w:r>
          </w:p>
        </w:tc>
        <w:tc>
          <w:tcPr>
            <w:tcW w:w="1100" w:type="dxa"/>
            <w:tcBorders>
              <w:top w:val="nil"/>
              <w:left w:val="nil"/>
              <w:bottom w:val="single" w:sz="4" w:space="0" w:color="auto"/>
              <w:right w:val="single" w:sz="4" w:space="0" w:color="auto"/>
            </w:tcBorders>
            <w:shd w:val="clear" w:color="auto" w:fill="auto"/>
            <w:noWrap/>
            <w:vAlign w:val="center"/>
            <w:hideMark/>
          </w:tcPr>
          <w:p w14:paraId="1E4A0D60" w14:textId="77777777" w:rsidR="00AE69A3" w:rsidRPr="00741292" w:rsidRDefault="00AE69A3">
            <w:pPr>
              <w:jc w:val="right"/>
              <w:rPr>
                <w:rFonts w:cs="Arial"/>
                <w:color w:val="000000"/>
                <w:sz w:val="22"/>
                <w:szCs w:val="22"/>
                <w:lang w:eastAsia="en-GB"/>
              </w:rPr>
            </w:pPr>
            <w:r w:rsidRPr="00741292">
              <w:rPr>
                <w:rFonts w:cs="Arial"/>
                <w:color w:val="000000"/>
                <w:sz w:val="22"/>
                <w:szCs w:val="22"/>
                <w:lang w:eastAsia="en-GB"/>
              </w:rPr>
              <w:t>-1,250</w:t>
            </w:r>
          </w:p>
        </w:tc>
        <w:tc>
          <w:tcPr>
            <w:tcW w:w="1040" w:type="dxa"/>
            <w:tcBorders>
              <w:top w:val="nil"/>
              <w:left w:val="nil"/>
              <w:bottom w:val="single" w:sz="4" w:space="0" w:color="auto"/>
              <w:right w:val="single" w:sz="4" w:space="0" w:color="auto"/>
            </w:tcBorders>
            <w:shd w:val="clear" w:color="auto" w:fill="auto"/>
            <w:noWrap/>
            <w:vAlign w:val="center"/>
            <w:hideMark/>
          </w:tcPr>
          <w:p w14:paraId="19EFCBFB" w14:textId="77777777" w:rsidR="00AE69A3" w:rsidRPr="00741292" w:rsidRDefault="00AE69A3">
            <w:pPr>
              <w:jc w:val="right"/>
              <w:rPr>
                <w:rFonts w:cs="Arial"/>
                <w:color w:val="000000"/>
                <w:sz w:val="22"/>
                <w:szCs w:val="22"/>
                <w:lang w:eastAsia="en-GB"/>
              </w:rPr>
            </w:pPr>
            <w:r w:rsidRPr="00741292">
              <w:rPr>
                <w:rFonts w:cs="Arial"/>
                <w:color w:val="000000"/>
                <w:sz w:val="22"/>
                <w:szCs w:val="22"/>
                <w:lang w:eastAsia="en-GB"/>
              </w:rPr>
              <w:t>0</w:t>
            </w:r>
          </w:p>
        </w:tc>
        <w:tc>
          <w:tcPr>
            <w:tcW w:w="1140" w:type="dxa"/>
            <w:tcBorders>
              <w:top w:val="nil"/>
              <w:left w:val="nil"/>
              <w:bottom w:val="single" w:sz="4" w:space="0" w:color="auto"/>
              <w:right w:val="single" w:sz="4" w:space="0" w:color="auto"/>
            </w:tcBorders>
            <w:shd w:val="clear" w:color="auto" w:fill="auto"/>
            <w:noWrap/>
            <w:vAlign w:val="center"/>
            <w:hideMark/>
          </w:tcPr>
          <w:p w14:paraId="1F712730" w14:textId="77777777" w:rsidR="00AE69A3" w:rsidRPr="00741292" w:rsidRDefault="00AE69A3">
            <w:pPr>
              <w:jc w:val="right"/>
              <w:rPr>
                <w:rFonts w:cs="Arial"/>
                <w:color w:val="000000"/>
                <w:sz w:val="22"/>
                <w:szCs w:val="22"/>
                <w:lang w:eastAsia="en-GB"/>
              </w:rPr>
            </w:pPr>
            <w:r w:rsidRPr="00741292">
              <w:rPr>
                <w:rFonts w:cs="Arial"/>
                <w:color w:val="000000"/>
                <w:sz w:val="22"/>
                <w:szCs w:val="22"/>
                <w:lang w:eastAsia="en-GB"/>
              </w:rPr>
              <w:t>1,250</w:t>
            </w:r>
          </w:p>
        </w:tc>
      </w:tr>
    </w:tbl>
    <w:p w14:paraId="30363AAC" w14:textId="77777777" w:rsidR="00AE69A3" w:rsidRDefault="00AE69A3" w:rsidP="00BA2380">
      <w:pPr>
        <w:rPr>
          <w:rFonts w:cs="Arial"/>
        </w:rPr>
      </w:pPr>
    </w:p>
    <w:p w14:paraId="7C1C2A96" w14:textId="3EBB5277" w:rsidR="007E5EF3" w:rsidRDefault="00051CF8" w:rsidP="00BA2380">
      <w:pPr>
        <w:rPr>
          <w:rFonts w:cs="Arial"/>
        </w:rPr>
      </w:pPr>
      <w:r>
        <w:rPr>
          <w:rFonts w:cs="Arial"/>
          <w:szCs w:val="24"/>
        </w:rPr>
        <w:t>7.2</w:t>
      </w:r>
      <w:r>
        <w:rPr>
          <w:rFonts w:cs="Arial"/>
          <w:szCs w:val="24"/>
        </w:rPr>
        <w:tab/>
      </w:r>
      <w:r w:rsidR="007E5EF3">
        <w:rPr>
          <w:rFonts w:cs="Arial"/>
          <w:szCs w:val="24"/>
        </w:rPr>
        <w:t xml:space="preserve">The Council is currently holding a number of accrued capital receipts (£4.5m) and will receive a further sum estimated at £15.4m from the sale of properties at </w:t>
      </w:r>
      <w:proofErr w:type="spellStart"/>
      <w:r w:rsidR="007E5EF3">
        <w:rPr>
          <w:rFonts w:cs="Arial"/>
          <w:szCs w:val="24"/>
        </w:rPr>
        <w:t>Leefe</w:t>
      </w:r>
      <w:proofErr w:type="spellEnd"/>
      <w:r w:rsidR="007E5EF3">
        <w:rPr>
          <w:rFonts w:cs="Arial"/>
          <w:szCs w:val="24"/>
        </w:rPr>
        <w:t xml:space="preserve"> Robinson Mews (formerly known as Haslam House) and </w:t>
      </w:r>
      <w:proofErr w:type="spellStart"/>
      <w:r w:rsidR="007E5EF3">
        <w:rPr>
          <w:rFonts w:cs="Arial"/>
          <w:szCs w:val="24"/>
        </w:rPr>
        <w:t>Pinnora</w:t>
      </w:r>
      <w:proofErr w:type="spellEnd"/>
      <w:r w:rsidR="007E5EF3">
        <w:rPr>
          <w:rFonts w:cs="Arial"/>
          <w:szCs w:val="24"/>
        </w:rPr>
        <w:t xml:space="preserve"> Mews (formerly known as </w:t>
      </w:r>
      <w:proofErr w:type="spellStart"/>
      <w:r w:rsidR="007E5EF3">
        <w:rPr>
          <w:rFonts w:cs="Arial"/>
          <w:szCs w:val="24"/>
        </w:rPr>
        <w:t>Waxwell</w:t>
      </w:r>
      <w:proofErr w:type="spellEnd"/>
      <w:r w:rsidR="007E5EF3">
        <w:rPr>
          <w:rFonts w:cs="Arial"/>
          <w:szCs w:val="24"/>
        </w:rPr>
        <w:t xml:space="preserve"> Lane Car Park)</w:t>
      </w:r>
      <w:r w:rsidR="00BC0F73">
        <w:rPr>
          <w:rFonts w:cs="Arial"/>
          <w:szCs w:val="24"/>
        </w:rPr>
        <w:t xml:space="preserve"> together with the potential proceeds from the two approved disposals pursuant to the July 2023 Cabinet decision</w:t>
      </w:r>
      <w:r w:rsidR="007E5EF3">
        <w:rPr>
          <w:rFonts w:cs="Arial"/>
          <w:szCs w:val="24"/>
        </w:rPr>
        <w:t xml:space="preserve">. The capital receipts in hand and those due will be used to fund short life assets </w:t>
      </w:r>
      <w:r w:rsidR="00CA210D">
        <w:rPr>
          <w:rFonts w:cs="Arial"/>
          <w:szCs w:val="24"/>
        </w:rPr>
        <w:t xml:space="preserve">in the Capital Programme </w:t>
      </w:r>
      <w:r w:rsidR="007E5EF3">
        <w:rPr>
          <w:rFonts w:cs="Arial"/>
          <w:szCs w:val="24"/>
        </w:rPr>
        <w:t>and will realise revenue savings against the capital financing budget over the three years of the MTFS.</w:t>
      </w:r>
    </w:p>
    <w:p w14:paraId="08FF89F5" w14:textId="77777777" w:rsidR="007E5EF3" w:rsidRDefault="007E5EF3" w:rsidP="00BA2380">
      <w:pPr>
        <w:rPr>
          <w:rFonts w:cs="Arial"/>
        </w:rPr>
      </w:pPr>
    </w:p>
    <w:p w14:paraId="59BFF554" w14:textId="057674AD" w:rsidR="007E5EF3" w:rsidRDefault="00051CF8" w:rsidP="007E5EF3">
      <w:pPr>
        <w:rPr>
          <w:rFonts w:cs="Arial"/>
        </w:rPr>
      </w:pPr>
      <w:r>
        <w:rPr>
          <w:rFonts w:cs="Arial"/>
        </w:rPr>
        <w:t>7.3</w:t>
      </w:r>
      <w:r>
        <w:rPr>
          <w:rFonts w:cs="Arial"/>
        </w:rPr>
        <w:tab/>
      </w:r>
      <w:r w:rsidR="007E5EF3">
        <w:rPr>
          <w:rFonts w:cs="Arial"/>
        </w:rPr>
        <w:t xml:space="preserve">In 2016 the government announced the Capital Receipts Flexibility Scheme to support local authorities to deliver more efficient and sustainable services by allowing them to spend up to 100% of their fixed assets receipts on the revenue costs of reform projects. The flexibility has been extended on numerous occasions and is currently in place until 31 March 2025. </w:t>
      </w:r>
    </w:p>
    <w:p w14:paraId="3B5075DA" w14:textId="52170773" w:rsidR="00AE69A3" w:rsidRDefault="00AE69A3" w:rsidP="00BA2380">
      <w:pPr>
        <w:rPr>
          <w:rFonts w:cs="Arial"/>
        </w:rPr>
      </w:pPr>
    </w:p>
    <w:p w14:paraId="1042ECEF" w14:textId="49A3749A" w:rsidR="007E5EF3" w:rsidRDefault="00051CF8" w:rsidP="007E5EF3">
      <w:r>
        <w:t>7.4</w:t>
      </w:r>
      <w:r>
        <w:tab/>
      </w:r>
      <w:r w:rsidR="007E5EF3">
        <w:t xml:space="preserve">The </w:t>
      </w:r>
      <w:r w:rsidR="00E86255">
        <w:t>2024/25</w:t>
      </w:r>
      <w:r w:rsidR="007E5EF3">
        <w:t xml:space="preserve"> </w:t>
      </w:r>
      <w:r w:rsidR="0046702E">
        <w:t xml:space="preserve">Budget and </w:t>
      </w:r>
      <w:r w:rsidR="007E5EF3">
        <w:t xml:space="preserve">MTFS </w:t>
      </w:r>
      <w:r w:rsidR="0046702E">
        <w:t xml:space="preserve">to 2026/27 </w:t>
      </w:r>
      <w:r w:rsidR="007E5EF3">
        <w:t>assume</w:t>
      </w:r>
      <w:r w:rsidR="00DB6B37">
        <w:t>s</w:t>
      </w:r>
      <w:r w:rsidR="007E5EF3">
        <w:t xml:space="preserve"> that the cost of Regeneration Team of £1.250m is funded under the</w:t>
      </w:r>
      <w:r w:rsidR="00DB6B37">
        <w:t xml:space="preserve"> S</w:t>
      </w:r>
      <w:r w:rsidR="007E5EF3">
        <w:t xml:space="preserve">cheme </w:t>
      </w:r>
      <w:r w:rsidR="0046702E">
        <w:t xml:space="preserve">for both 2024/25 and 2025/26, </w:t>
      </w:r>
      <w:r w:rsidR="007E5EF3">
        <w:t>because the nature of this spend meets the capital flexibility criteria.</w:t>
      </w:r>
      <w:r w:rsidR="00DB6B37">
        <w:t xml:space="preserve"> This sum is re-instated in 202</w:t>
      </w:r>
      <w:r w:rsidR="0046702E">
        <w:t>6</w:t>
      </w:r>
      <w:r w:rsidR="00DB6B37">
        <w:t>/2</w:t>
      </w:r>
      <w:r w:rsidR="0046702E">
        <w:t>7.</w:t>
      </w:r>
      <w:r w:rsidR="00DB6B37">
        <w:t>.</w:t>
      </w:r>
      <w:r w:rsidR="007E5EF3">
        <w:t xml:space="preserve"> Therefore</w:t>
      </w:r>
      <w:r w:rsidR="00DB6B37">
        <w:t>,</w:t>
      </w:r>
      <w:r w:rsidR="007E5EF3">
        <w:t xml:space="preserve"> the first call on the capital receipts generated through this report will be </w:t>
      </w:r>
      <w:r w:rsidR="005D1B7D">
        <w:t>used</w:t>
      </w:r>
      <w:r w:rsidR="007E5EF3">
        <w:t xml:space="preserve"> to support this.</w:t>
      </w:r>
      <w:r w:rsidR="00DB6B37">
        <w:t xml:space="preserve"> </w:t>
      </w:r>
    </w:p>
    <w:p w14:paraId="5885A39D" w14:textId="77777777" w:rsidR="007E5EF3" w:rsidRDefault="007E5EF3" w:rsidP="00BA2380">
      <w:pPr>
        <w:rPr>
          <w:rFonts w:cs="Arial"/>
        </w:rPr>
      </w:pPr>
    </w:p>
    <w:p w14:paraId="6D9EDE98" w14:textId="50F9F27B" w:rsidR="00BA2380" w:rsidRDefault="00051CF8" w:rsidP="00BA2380">
      <w:r>
        <w:t>7.5</w:t>
      </w:r>
      <w:r>
        <w:tab/>
      </w:r>
      <w:r w:rsidR="004343AE">
        <w:t>The property is</w:t>
      </w:r>
      <w:r w:rsidR="55A7126A">
        <w:t xml:space="preserve"> currently vacant, so there is no loss of rental income from the </w:t>
      </w:r>
      <w:r w:rsidR="55A7126A" w:rsidRPr="004901F2">
        <w:t>disposal. The proposed disposal</w:t>
      </w:r>
      <w:r w:rsidR="001A370A" w:rsidRPr="004901F2">
        <w:t xml:space="preserve"> </w:t>
      </w:r>
      <w:r w:rsidR="55A7126A" w:rsidRPr="004901F2">
        <w:t xml:space="preserve">will also reduce the on-going revenue cost burden in General Fund </w:t>
      </w:r>
      <w:r w:rsidR="001A370A" w:rsidRPr="004901F2">
        <w:t>including security costs</w:t>
      </w:r>
      <w:r w:rsidR="006956F6" w:rsidRPr="004901F2">
        <w:t xml:space="preserve">. Since 2020, the Facilities Management team has spent £26k on </w:t>
      </w:r>
      <w:r w:rsidR="001C2FB4" w:rsidRPr="004901F2">
        <w:t xml:space="preserve">maintaining and </w:t>
      </w:r>
      <w:r w:rsidR="003055EF" w:rsidRPr="004901F2">
        <w:t>securing</w:t>
      </w:r>
      <w:r w:rsidR="001C2FB4" w:rsidRPr="004901F2">
        <w:t xml:space="preserve"> the building.</w:t>
      </w:r>
      <w:r w:rsidR="001C2FB4">
        <w:t xml:space="preserve"> </w:t>
      </w:r>
    </w:p>
    <w:p w14:paraId="41D80CF8" w14:textId="66A22FF7" w:rsidR="00333FAA" w:rsidRPr="00B90BA1" w:rsidRDefault="00A65876" w:rsidP="00A1211C">
      <w:pPr>
        <w:pStyle w:val="Heading3"/>
        <w:spacing w:before="480" w:after="240"/>
        <w:rPr>
          <w:color w:val="FF0000"/>
        </w:rPr>
      </w:pPr>
      <w:r>
        <w:t>8.</w:t>
      </w:r>
      <w:r>
        <w:tab/>
      </w:r>
      <w:r w:rsidR="00333FAA" w:rsidRPr="00B90BA1">
        <w:t>Equalities implications</w:t>
      </w:r>
      <w:r w:rsidR="001C7E35" w:rsidRPr="00B90BA1">
        <w:t xml:space="preserve"> </w:t>
      </w:r>
      <w:r w:rsidR="00333FAA" w:rsidRPr="00B90BA1">
        <w:t>/</w:t>
      </w:r>
      <w:r w:rsidR="001C7E35" w:rsidRPr="00B90BA1">
        <w:t xml:space="preserve"> </w:t>
      </w:r>
      <w:r w:rsidR="00333FAA" w:rsidRPr="00B90BA1">
        <w:t>Public Sector Equality Duty</w:t>
      </w:r>
    </w:p>
    <w:p w14:paraId="0404E472" w14:textId="5FCADEE3" w:rsidR="00384DE2" w:rsidRPr="00820E75" w:rsidRDefault="00051CF8" w:rsidP="77A817D7">
      <w:pPr>
        <w:pStyle w:val="Heading4"/>
        <w:spacing w:before="480"/>
        <w:rPr>
          <w:b w:val="0"/>
          <w:sz w:val="28"/>
          <w:szCs w:val="28"/>
        </w:rPr>
      </w:pPr>
      <w:r>
        <w:rPr>
          <w:b w:val="0"/>
        </w:rPr>
        <w:t>8.1</w:t>
      </w:r>
      <w:r>
        <w:rPr>
          <w:b w:val="0"/>
        </w:rPr>
        <w:tab/>
      </w:r>
      <w:r w:rsidR="4F188146">
        <w:rPr>
          <w:b w:val="0"/>
        </w:rPr>
        <w:t xml:space="preserve">The </w:t>
      </w:r>
      <w:r w:rsidR="00B52A7F">
        <w:rPr>
          <w:b w:val="0"/>
        </w:rPr>
        <w:t>property</w:t>
      </w:r>
      <w:r w:rsidR="4F188146">
        <w:rPr>
          <w:b w:val="0"/>
        </w:rPr>
        <w:t xml:space="preserve"> will </w:t>
      </w:r>
      <w:r w:rsidR="4F188146" w:rsidRPr="00091F77">
        <w:rPr>
          <w:b w:val="0"/>
        </w:rPr>
        <w:t xml:space="preserve">be openly marketed. All opportunities to promote equality are addressed through an open marketing process (e.g. signboards, information on the LB Harrow website, agents’ websites etc). </w:t>
      </w:r>
      <w:r w:rsidR="218A3180" w:rsidRPr="00091F77">
        <w:rPr>
          <w:b w:val="0"/>
        </w:rPr>
        <w:t xml:space="preserve">Moreover, the proceeds will be reinvested in the </w:t>
      </w:r>
      <w:r w:rsidR="6094DAE3" w:rsidRPr="00091F77">
        <w:rPr>
          <w:b w:val="0"/>
        </w:rPr>
        <w:t>Council’s</w:t>
      </w:r>
      <w:r w:rsidR="218A3180" w:rsidRPr="00091F77">
        <w:rPr>
          <w:b w:val="0"/>
        </w:rPr>
        <w:t xml:space="preserve"> capital programme which </w:t>
      </w:r>
      <w:r w:rsidR="7E61A2A1" w:rsidRPr="00091F77">
        <w:rPr>
          <w:b w:val="0"/>
        </w:rPr>
        <w:t xml:space="preserve">includes </w:t>
      </w:r>
      <w:r w:rsidR="2604D72A" w:rsidRPr="00091F77">
        <w:rPr>
          <w:b w:val="0"/>
        </w:rPr>
        <w:t>programmes</w:t>
      </w:r>
      <w:r w:rsidR="7E61A2A1" w:rsidRPr="00091F77">
        <w:rPr>
          <w:b w:val="0"/>
        </w:rPr>
        <w:t xml:space="preserve"> and schemes </w:t>
      </w:r>
      <w:r w:rsidR="2604D72A" w:rsidRPr="00091F77">
        <w:rPr>
          <w:b w:val="0"/>
        </w:rPr>
        <w:t xml:space="preserve">which will improve the prospects for people across the Borough. </w:t>
      </w:r>
      <w:r w:rsidR="0A250543" w:rsidRPr="00091F77">
        <w:rPr>
          <w:b w:val="0"/>
        </w:rPr>
        <w:t xml:space="preserve"> </w:t>
      </w:r>
      <w:r w:rsidR="218A3180" w:rsidRPr="00091F77">
        <w:rPr>
          <w:b w:val="0"/>
        </w:rPr>
        <w:t xml:space="preserve"> </w:t>
      </w:r>
      <w:r w:rsidR="665A49C7" w:rsidRPr="00091F77">
        <w:rPr>
          <w:b w:val="0"/>
        </w:rPr>
        <w:t>Whilst the site</w:t>
      </w:r>
      <w:r w:rsidR="001A370A">
        <w:rPr>
          <w:b w:val="0"/>
        </w:rPr>
        <w:t xml:space="preserve"> was</w:t>
      </w:r>
      <w:r w:rsidR="665A49C7">
        <w:rPr>
          <w:b w:val="0"/>
        </w:rPr>
        <w:t xml:space="preserve"> historically used for specific service users, the </w:t>
      </w:r>
      <w:r w:rsidR="001A370A">
        <w:rPr>
          <w:b w:val="0"/>
        </w:rPr>
        <w:t>property is not</w:t>
      </w:r>
      <w:r w:rsidR="665A49C7">
        <w:rPr>
          <w:b w:val="0"/>
        </w:rPr>
        <w:t xml:space="preserve"> considered suitable for continued use and it </w:t>
      </w:r>
      <w:r w:rsidR="0073088C">
        <w:rPr>
          <w:b w:val="0"/>
        </w:rPr>
        <w:t>is considered</w:t>
      </w:r>
      <w:r w:rsidR="00E45FD3">
        <w:rPr>
          <w:b w:val="0"/>
        </w:rPr>
        <w:t xml:space="preserve"> that it would be better both financially and practica</w:t>
      </w:r>
      <w:r w:rsidR="0073088C">
        <w:rPr>
          <w:b w:val="0"/>
        </w:rPr>
        <w:t>ble</w:t>
      </w:r>
      <w:r w:rsidR="00E45FD3">
        <w:rPr>
          <w:b w:val="0"/>
        </w:rPr>
        <w:t xml:space="preserve"> to sell the asset and invest in other buildings or uses. </w:t>
      </w:r>
      <w:r w:rsidR="4F188146">
        <w:rPr>
          <w:b w:val="0"/>
        </w:rPr>
        <w:t xml:space="preserve"> </w:t>
      </w:r>
    </w:p>
    <w:p w14:paraId="4280B78A" w14:textId="77777777" w:rsidR="00384DE2" w:rsidRDefault="00384DE2" w:rsidP="00E155AB">
      <w:pPr>
        <w:pStyle w:val="PlainText"/>
        <w:ind w:left="720" w:hanging="720"/>
        <w:jc w:val="both"/>
        <w:rPr>
          <w:rFonts w:ascii="Arial" w:hAnsi="Arial" w:cs="Arial"/>
          <w:sz w:val="24"/>
          <w:szCs w:val="24"/>
        </w:rPr>
      </w:pPr>
    </w:p>
    <w:p w14:paraId="4D4BCE83" w14:textId="644C89D2" w:rsidR="00820E75" w:rsidRPr="00820E75" w:rsidRDefault="00A65876" w:rsidP="00820E75">
      <w:pPr>
        <w:pStyle w:val="Heading3"/>
        <w:spacing w:before="480" w:after="240"/>
      </w:pPr>
      <w:r>
        <w:lastRenderedPageBreak/>
        <w:t>9.</w:t>
      </w:r>
      <w:r>
        <w:tab/>
      </w:r>
      <w:r w:rsidR="00820E75" w:rsidRPr="00820E75">
        <w:t xml:space="preserve">Council Priorities </w:t>
      </w:r>
    </w:p>
    <w:p w14:paraId="23753281" w14:textId="4E109ECC" w:rsidR="00377569" w:rsidRPr="00051CF8" w:rsidRDefault="00051CF8" w:rsidP="00051CF8">
      <w:pPr>
        <w:pStyle w:val="StyleListParagraphBold"/>
        <w:ind w:left="0"/>
        <w:rPr>
          <w:i/>
          <w:iCs/>
        </w:rPr>
      </w:pPr>
      <w:r w:rsidRPr="00051CF8">
        <w:rPr>
          <w:i/>
          <w:iCs/>
        </w:rPr>
        <w:t xml:space="preserve">A </w:t>
      </w:r>
      <w:r w:rsidR="00377569" w:rsidRPr="00051CF8">
        <w:rPr>
          <w:i/>
          <w:iCs/>
        </w:rPr>
        <w:t>place where those in need are supported</w:t>
      </w:r>
    </w:p>
    <w:p w14:paraId="7B4FD147" w14:textId="3C31FFAA" w:rsidR="00820E75" w:rsidRPr="00820E75" w:rsidRDefault="00890C76" w:rsidP="00C61B98">
      <w:pPr>
        <w:pStyle w:val="StyleListParagraphBold"/>
        <w:ind w:left="0"/>
        <w:rPr>
          <w:b w:val="0"/>
          <w:bCs w:val="0"/>
        </w:rPr>
      </w:pPr>
      <w:r>
        <w:rPr>
          <w:b w:val="0"/>
          <w:bCs w:val="0"/>
        </w:rPr>
        <w:t>Sales receipts will contribute to</w:t>
      </w:r>
      <w:r w:rsidR="00820E75" w:rsidRPr="00820E75">
        <w:rPr>
          <w:b w:val="0"/>
          <w:bCs w:val="0"/>
        </w:rPr>
        <w:t xml:space="preserve"> our </w:t>
      </w:r>
      <w:r w:rsidR="00E776EE">
        <w:rPr>
          <w:b w:val="0"/>
          <w:bCs w:val="0"/>
        </w:rPr>
        <w:t xml:space="preserve">capital </w:t>
      </w:r>
      <w:r w:rsidR="00B53244">
        <w:rPr>
          <w:b w:val="0"/>
          <w:bCs w:val="0"/>
        </w:rPr>
        <w:t>programme</w:t>
      </w:r>
      <w:r w:rsidR="00E776EE">
        <w:rPr>
          <w:b w:val="0"/>
          <w:bCs w:val="0"/>
        </w:rPr>
        <w:t xml:space="preserve"> </w:t>
      </w:r>
      <w:r>
        <w:rPr>
          <w:b w:val="0"/>
          <w:bCs w:val="0"/>
        </w:rPr>
        <w:t xml:space="preserve">which </w:t>
      </w:r>
      <w:r w:rsidR="00E776EE">
        <w:rPr>
          <w:b w:val="0"/>
          <w:bCs w:val="0"/>
        </w:rPr>
        <w:t xml:space="preserve">will help create better </w:t>
      </w:r>
      <w:r w:rsidR="00B53244">
        <w:rPr>
          <w:b w:val="0"/>
          <w:bCs w:val="0"/>
        </w:rPr>
        <w:t>spaces</w:t>
      </w:r>
      <w:r w:rsidR="00E776EE">
        <w:rPr>
          <w:b w:val="0"/>
          <w:bCs w:val="0"/>
        </w:rPr>
        <w:t xml:space="preserve"> for our most vulnerable residents.</w:t>
      </w:r>
    </w:p>
    <w:p w14:paraId="5514D939" w14:textId="77777777" w:rsidR="00333FAA" w:rsidRPr="00421447" w:rsidRDefault="00333FAA" w:rsidP="000B7C66">
      <w:pPr>
        <w:pStyle w:val="Heading2"/>
        <w:spacing w:before="480" w:after="240"/>
        <w:rPr>
          <w:b w:val="0"/>
          <w:bCs w:val="0"/>
        </w:rPr>
      </w:pPr>
      <w:r w:rsidRPr="00421447">
        <w:rPr>
          <w:b w:val="0"/>
          <w:bCs w:val="0"/>
        </w:rPr>
        <w:t>Section 3 - Statutory Officer Clearance</w:t>
      </w:r>
    </w:p>
    <w:p w14:paraId="3B5D52F9" w14:textId="3D11AED4" w:rsidR="00A66326" w:rsidRPr="002673DD" w:rsidRDefault="00A66326" w:rsidP="00A66326">
      <w:pPr>
        <w:rPr>
          <w:rFonts w:cs="Arial"/>
          <w:b/>
          <w:szCs w:val="24"/>
        </w:rPr>
      </w:pPr>
      <w:r w:rsidRPr="002673DD">
        <w:rPr>
          <w:rFonts w:cs="Arial"/>
          <w:b/>
          <w:szCs w:val="24"/>
        </w:rPr>
        <w:t xml:space="preserve">Statutory Officer:  </w:t>
      </w:r>
      <w:r w:rsidR="001A370A">
        <w:rPr>
          <w:rFonts w:cs="Arial"/>
          <w:b/>
          <w:szCs w:val="24"/>
        </w:rPr>
        <w:t>Sharon Daniels</w:t>
      </w:r>
    </w:p>
    <w:p w14:paraId="06450070" w14:textId="1B7A3A71" w:rsidR="00A66326" w:rsidRDefault="00A66326" w:rsidP="00A66326">
      <w:pPr>
        <w:rPr>
          <w:rFonts w:cs="Arial"/>
          <w:szCs w:val="24"/>
        </w:rPr>
      </w:pPr>
      <w:r w:rsidRPr="002673DD">
        <w:rPr>
          <w:rFonts w:cs="Arial"/>
          <w:szCs w:val="24"/>
        </w:rPr>
        <w:t xml:space="preserve">Signed by the </w:t>
      </w:r>
      <w:r w:rsidR="001A370A">
        <w:rPr>
          <w:rFonts w:cs="Arial"/>
          <w:szCs w:val="24"/>
        </w:rPr>
        <w:t xml:space="preserve">Interim </w:t>
      </w:r>
      <w:r w:rsidRPr="002673DD">
        <w:rPr>
          <w:rFonts w:cs="Arial"/>
          <w:szCs w:val="24"/>
        </w:rPr>
        <w:t>Chief Financial Officer</w:t>
      </w:r>
    </w:p>
    <w:p w14:paraId="7A81544D" w14:textId="04C38802" w:rsidR="00421447" w:rsidRDefault="000F4D66" w:rsidP="00A66326">
      <w:pPr>
        <w:rPr>
          <w:rFonts w:cs="Arial"/>
          <w:szCs w:val="24"/>
        </w:rPr>
      </w:pPr>
      <w:r>
        <w:rPr>
          <w:rFonts w:cs="Arial"/>
          <w:b/>
          <w:bCs/>
          <w:szCs w:val="24"/>
        </w:rPr>
        <w:t>Date:</w:t>
      </w:r>
      <w:r w:rsidR="006B5ED7">
        <w:rPr>
          <w:rFonts w:cs="Arial"/>
          <w:szCs w:val="24"/>
        </w:rPr>
        <w:t>12 Jan</w:t>
      </w:r>
      <w:r>
        <w:rPr>
          <w:rFonts w:cs="Arial"/>
          <w:szCs w:val="24"/>
        </w:rPr>
        <w:t>uary</w:t>
      </w:r>
      <w:r w:rsidR="006B5ED7">
        <w:rPr>
          <w:rFonts w:cs="Arial"/>
          <w:szCs w:val="24"/>
        </w:rPr>
        <w:t xml:space="preserve"> </w:t>
      </w:r>
      <w:r>
        <w:rPr>
          <w:rFonts w:cs="Arial"/>
          <w:szCs w:val="24"/>
        </w:rPr>
        <w:t>20</w:t>
      </w:r>
      <w:r w:rsidR="006B5ED7">
        <w:rPr>
          <w:rFonts w:cs="Arial"/>
          <w:szCs w:val="24"/>
        </w:rPr>
        <w:t>24</w:t>
      </w:r>
    </w:p>
    <w:p w14:paraId="0951CCEE" w14:textId="77777777" w:rsidR="000557F4" w:rsidRPr="002673DD" w:rsidRDefault="000557F4" w:rsidP="00A66326">
      <w:pPr>
        <w:rPr>
          <w:rFonts w:cs="Arial"/>
          <w:szCs w:val="24"/>
        </w:rPr>
      </w:pPr>
    </w:p>
    <w:p w14:paraId="7E329E85" w14:textId="2E345E44" w:rsidR="00A66326" w:rsidRPr="002673DD" w:rsidRDefault="00A66326" w:rsidP="00A66326">
      <w:pPr>
        <w:rPr>
          <w:rFonts w:cs="Arial"/>
          <w:szCs w:val="24"/>
        </w:rPr>
      </w:pPr>
      <w:r w:rsidRPr="002673DD">
        <w:rPr>
          <w:rFonts w:cs="Arial"/>
          <w:b/>
          <w:szCs w:val="24"/>
        </w:rPr>
        <w:t xml:space="preserve">Statutory Officer:  </w:t>
      </w:r>
      <w:r w:rsidR="00E84045" w:rsidRPr="002673DD">
        <w:rPr>
          <w:rFonts w:cs="Arial"/>
          <w:b/>
          <w:szCs w:val="24"/>
        </w:rPr>
        <w:t>Amanpreet Lally</w:t>
      </w:r>
    </w:p>
    <w:p w14:paraId="76F84634" w14:textId="6C2AB63D" w:rsidR="00A66326" w:rsidRPr="002673DD" w:rsidRDefault="00A66326" w:rsidP="00A66326">
      <w:pPr>
        <w:rPr>
          <w:rFonts w:cs="Arial"/>
          <w:szCs w:val="24"/>
        </w:rPr>
      </w:pPr>
      <w:r w:rsidRPr="002673DD">
        <w:rPr>
          <w:rFonts w:cs="Arial"/>
          <w:szCs w:val="24"/>
        </w:rPr>
        <w:t>Signed on behalf of the Monitoring Officer</w:t>
      </w:r>
    </w:p>
    <w:p w14:paraId="3C05CF39" w14:textId="6B17E2F4" w:rsidR="00063BF3" w:rsidRDefault="000F4D66" w:rsidP="00BF5AFA">
      <w:pPr>
        <w:rPr>
          <w:rFonts w:cs="Arial"/>
          <w:szCs w:val="24"/>
        </w:rPr>
      </w:pPr>
      <w:r>
        <w:rPr>
          <w:rFonts w:cs="Arial"/>
          <w:b/>
          <w:bCs/>
          <w:szCs w:val="24"/>
        </w:rPr>
        <w:t>Date:</w:t>
      </w:r>
      <w:r w:rsidR="006B5ED7">
        <w:rPr>
          <w:rFonts w:cs="Arial"/>
          <w:szCs w:val="24"/>
        </w:rPr>
        <w:t>12 Jan</w:t>
      </w:r>
      <w:r>
        <w:rPr>
          <w:rFonts w:cs="Arial"/>
          <w:szCs w:val="24"/>
        </w:rPr>
        <w:t>uary</w:t>
      </w:r>
      <w:r w:rsidR="006B5ED7">
        <w:rPr>
          <w:rFonts w:cs="Arial"/>
          <w:szCs w:val="24"/>
        </w:rPr>
        <w:t xml:space="preserve"> </w:t>
      </w:r>
      <w:r>
        <w:rPr>
          <w:rFonts w:cs="Arial"/>
          <w:szCs w:val="24"/>
        </w:rPr>
        <w:t>20</w:t>
      </w:r>
      <w:r w:rsidR="006B5ED7">
        <w:rPr>
          <w:rFonts w:cs="Arial"/>
          <w:szCs w:val="24"/>
        </w:rPr>
        <w:t>24</w:t>
      </w:r>
    </w:p>
    <w:p w14:paraId="11DBC412" w14:textId="77777777" w:rsidR="000557F4" w:rsidRDefault="000557F4" w:rsidP="00BF5AFA">
      <w:pPr>
        <w:rPr>
          <w:rFonts w:cs="Arial"/>
          <w:b/>
          <w:szCs w:val="24"/>
        </w:rPr>
      </w:pPr>
    </w:p>
    <w:p w14:paraId="31D8FA55" w14:textId="7A01FB2C" w:rsidR="00BF5AFA" w:rsidRPr="002673DD" w:rsidRDefault="00BF5AFA" w:rsidP="00BF5AFA">
      <w:pPr>
        <w:rPr>
          <w:rFonts w:cs="Arial"/>
          <w:szCs w:val="24"/>
        </w:rPr>
      </w:pPr>
      <w:r w:rsidRPr="002673DD">
        <w:rPr>
          <w:rFonts w:cs="Arial"/>
          <w:b/>
          <w:szCs w:val="24"/>
        </w:rPr>
        <w:t xml:space="preserve">Chief Officer:  </w:t>
      </w:r>
      <w:r w:rsidR="00E84045" w:rsidRPr="002673DD">
        <w:rPr>
          <w:rFonts w:cs="Arial"/>
          <w:b/>
          <w:szCs w:val="24"/>
        </w:rPr>
        <w:t>Dipti Patel</w:t>
      </w:r>
    </w:p>
    <w:p w14:paraId="6C086558" w14:textId="5247BF27" w:rsidR="00BF5AFA" w:rsidRDefault="00BF5AFA" w:rsidP="00BF5AFA">
      <w:pPr>
        <w:rPr>
          <w:rFonts w:cs="Arial"/>
          <w:szCs w:val="24"/>
        </w:rPr>
      </w:pPr>
      <w:r w:rsidRPr="002673DD">
        <w:rPr>
          <w:rFonts w:cs="Arial"/>
          <w:szCs w:val="24"/>
        </w:rPr>
        <w:t>Signed by the Corporate Director</w:t>
      </w:r>
    </w:p>
    <w:p w14:paraId="0289A98C" w14:textId="28BF451E" w:rsidR="00421447" w:rsidRDefault="000F4D66" w:rsidP="00421447">
      <w:pPr>
        <w:rPr>
          <w:rFonts w:cs="Arial"/>
          <w:szCs w:val="24"/>
        </w:rPr>
      </w:pPr>
      <w:r>
        <w:rPr>
          <w:rFonts w:cs="Arial"/>
          <w:b/>
          <w:bCs/>
          <w:szCs w:val="24"/>
        </w:rPr>
        <w:t xml:space="preserve">Date: </w:t>
      </w:r>
      <w:r w:rsidR="000557F4">
        <w:rPr>
          <w:rFonts w:cs="Arial"/>
          <w:szCs w:val="24"/>
        </w:rPr>
        <w:t>13 Jan</w:t>
      </w:r>
      <w:r>
        <w:rPr>
          <w:rFonts w:cs="Arial"/>
          <w:szCs w:val="24"/>
        </w:rPr>
        <w:t>uary</w:t>
      </w:r>
      <w:r w:rsidR="000557F4">
        <w:rPr>
          <w:rFonts w:cs="Arial"/>
          <w:szCs w:val="24"/>
        </w:rPr>
        <w:t xml:space="preserve"> </w:t>
      </w:r>
      <w:r>
        <w:rPr>
          <w:rFonts w:cs="Arial"/>
          <w:szCs w:val="24"/>
        </w:rPr>
        <w:t>20</w:t>
      </w:r>
      <w:r w:rsidR="000557F4">
        <w:rPr>
          <w:rFonts w:cs="Arial"/>
          <w:szCs w:val="24"/>
        </w:rPr>
        <w:t>24</w:t>
      </w:r>
    </w:p>
    <w:p w14:paraId="1A9C2306" w14:textId="77777777" w:rsidR="00E84045" w:rsidRPr="002673DD" w:rsidRDefault="00E84045" w:rsidP="00BF5AFA">
      <w:pPr>
        <w:rPr>
          <w:rFonts w:cs="Arial"/>
          <w:b/>
          <w:szCs w:val="24"/>
        </w:rPr>
      </w:pPr>
    </w:p>
    <w:p w14:paraId="2C546334" w14:textId="4EB2E7FD" w:rsidR="00BF5AFA" w:rsidRPr="002673DD" w:rsidRDefault="00BF5AFA" w:rsidP="00BF5AFA">
      <w:pPr>
        <w:rPr>
          <w:rFonts w:cs="Arial"/>
          <w:szCs w:val="24"/>
        </w:rPr>
      </w:pPr>
      <w:r w:rsidRPr="002673DD">
        <w:rPr>
          <w:rFonts w:cs="Arial"/>
          <w:b/>
          <w:szCs w:val="24"/>
        </w:rPr>
        <w:t xml:space="preserve">Head of Procurement:  </w:t>
      </w:r>
      <w:r w:rsidR="00E84045" w:rsidRPr="002673DD">
        <w:rPr>
          <w:rFonts w:cs="Arial"/>
          <w:b/>
          <w:szCs w:val="24"/>
        </w:rPr>
        <w:t xml:space="preserve">Nimesh </w:t>
      </w:r>
      <w:r w:rsidR="00B87CEC">
        <w:rPr>
          <w:rFonts w:cs="Arial"/>
          <w:b/>
          <w:szCs w:val="24"/>
        </w:rPr>
        <w:t>Mehta</w:t>
      </w:r>
    </w:p>
    <w:p w14:paraId="3C6E94C3" w14:textId="1681C6EA" w:rsidR="00BF5AFA" w:rsidRDefault="00BF5AFA" w:rsidP="00BF5AFA">
      <w:pPr>
        <w:rPr>
          <w:rFonts w:cs="Arial"/>
          <w:szCs w:val="24"/>
        </w:rPr>
      </w:pPr>
      <w:r w:rsidRPr="002673DD">
        <w:rPr>
          <w:rFonts w:cs="Arial"/>
          <w:szCs w:val="24"/>
        </w:rPr>
        <w:t xml:space="preserve">Signed </w:t>
      </w:r>
      <w:r w:rsidR="0075699C" w:rsidRPr="002673DD">
        <w:rPr>
          <w:rFonts w:cs="Arial"/>
          <w:szCs w:val="24"/>
        </w:rPr>
        <w:t xml:space="preserve">by </w:t>
      </w:r>
      <w:r w:rsidRPr="002673DD">
        <w:rPr>
          <w:rFonts w:cs="Arial"/>
          <w:szCs w:val="24"/>
        </w:rPr>
        <w:t>the Head of Procurement</w:t>
      </w:r>
    </w:p>
    <w:p w14:paraId="3EFF6DE0" w14:textId="302905EA" w:rsidR="00421447" w:rsidRDefault="000F4D66" w:rsidP="00BF5AFA">
      <w:pPr>
        <w:rPr>
          <w:rFonts w:cs="Arial"/>
          <w:szCs w:val="24"/>
        </w:rPr>
      </w:pPr>
      <w:r>
        <w:rPr>
          <w:rFonts w:cs="Arial"/>
          <w:b/>
          <w:bCs/>
          <w:szCs w:val="24"/>
        </w:rPr>
        <w:t xml:space="preserve">Date: </w:t>
      </w:r>
      <w:r w:rsidR="006B5ED7">
        <w:rPr>
          <w:rFonts w:cs="Arial"/>
          <w:szCs w:val="24"/>
        </w:rPr>
        <w:t>12 Jan</w:t>
      </w:r>
      <w:r>
        <w:rPr>
          <w:rFonts w:cs="Arial"/>
          <w:szCs w:val="24"/>
        </w:rPr>
        <w:t>uary</w:t>
      </w:r>
      <w:r w:rsidR="006B5ED7">
        <w:rPr>
          <w:rFonts w:cs="Arial"/>
          <w:szCs w:val="24"/>
        </w:rPr>
        <w:t xml:space="preserve"> </w:t>
      </w:r>
      <w:r>
        <w:rPr>
          <w:rFonts w:cs="Arial"/>
          <w:szCs w:val="24"/>
        </w:rPr>
        <w:t>20</w:t>
      </w:r>
      <w:r w:rsidR="006B5ED7">
        <w:rPr>
          <w:rFonts w:cs="Arial"/>
          <w:szCs w:val="24"/>
        </w:rPr>
        <w:t>24</w:t>
      </w:r>
    </w:p>
    <w:p w14:paraId="720583D1" w14:textId="77777777" w:rsidR="000557F4" w:rsidRDefault="000557F4" w:rsidP="00BF5AFA">
      <w:pPr>
        <w:rPr>
          <w:rFonts w:cs="Arial"/>
          <w:b/>
          <w:szCs w:val="24"/>
        </w:rPr>
      </w:pPr>
    </w:p>
    <w:p w14:paraId="113297A5" w14:textId="3EBBA03F" w:rsidR="00BF5AFA" w:rsidRPr="002673DD" w:rsidRDefault="00BF5AFA" w:rsidP="00BF5AFA">
      <w:pPr>
        <w:rPr>
          <w:rFonts w:cs="Arial"/>
          <w:szCs w:val="24"/>
        </w:rPr>
      </w:pPr>
      <w:r w:rsidRPr="002673DD">
        <w:rPr>
          <w:rFonts w:cs="Arial"/>
          <w:b/>
          <w:szCs w:val="24"/>
        </w:rPr>
        <w:t xml:space="preserve">Head of Internal Audit: </w:t>
      </w:r>
      <w:r w:rsidR="00E12DE0" w:rsidRPr="002673DD">
        <w:rPr>
          <w:rFonts w:cs="Arial"/>
          <w:b/>
          <w:szCs w:val="24"/>
        </w:rPr>
        <w:t xml:space="preserve">Neale Burns </w:t>
      </w:r>
    </w:p>
    <w:p w14:paraId="5CF04A24" w14:textId="7D8327E0" w:rsidR="00BF5AFA" w:rsidRDefault="00BF5AFA" w:rsidP="00BF5AFA">
      <w:pPr>
        <w:rPr>
          <w:rFonts w:cs="Arial"/>
          <w:szCs w:val="24"/>
        </w:rPr>
      </w:pPr>
      <w:r w:rsidRPr="002673DD">
        <w:rPr>
          <w:rFonts w:cs="Arial"/>
          <w:szCs w:val="24"/>
        </w:rPr>
        <w:t>Signed on behalf of</w:t>
      </w:r>
      <w:r w:rsidR="00E12DE0" w:rsidRPr="002673DD">
        <w:rPr>
          <w:rFonts w:cs="Arial"/>
          <w:szCs w:val="24"/>
        </w:rPr>
        <w:t xml:space="preserve"> </w:t>
      </w:r>
      <w:r w:rsidRPr="002673DD">
        <w:rPr>
          <w:rFonts w:cs="Arial"/>
          <w:szCs w:val="24"/>
        </w:rPr>
        <w:t xml:space="preserve">the </w:t>
      </w:r>
      <w:r w:rsidR="00E12DE0" w:rsidRPr="002673DD">
        <w:rPr>
          <w:rFonts w:cs="Arial"/>
          <w:szCs w:val="24"/>
        </w:rPr>
        <w:t xml:space="preserve">Interim </w:t>
      </w:r>
      <w:r w:rsidRPr="002673DD">
        <w:rPr>
          <w:rFonts w:cs="Arial"/>
          <w:szCs w:val="24"/>
        </w:rPr>
        <w:t>Head of Internal Audit</w:t>
      </w:r>
    </w:p>
    <w:p w14:paraId="04C352A5" w14:textId="10B2CC31" w:rsidR="00F42E1E" w:rsidRDefault="000F4D66" w:rsidP="00F42E1E">
      <w:pPr>
        <w:rPr>
          <w:rFonts w:cs="Arial"/>
          <w:szCs w:val="24"/>
        </w:rPr>
      </w:pPr>
      <w:r>
        <w:rPr>
          <w:rFonts w:cs="Arial"/>
          <w:b/>
          <w:bCs/>
          <w:szCs w:val="24"/>
        </w:rPr>
        <w:t xml:space="preserve">Date: </w:t>
      </w:r>
      <w:r w:rsidR="006B5ED7">
        <w:rPr>
          <w:rFonts w:cs="Arial"/>
          <w:szCs w:val="24"/>
        </w:rPr>
        <w:t>12 Jan</w:t>
      </w:r>
      <w:r>
        <w:rPr>
          <w:rFonts w:cs="Arial"/>
          <w:szCs w:val="24"/>
        </w:rPr>
        <w:t>uary 20</w:t>
      </w:r>
      <w:r w:rsidR="006B5ED7">
        <w:rPr>
          <w:rFonts w:cs="Arial"/>
          <w:szCs w:val="24"/>
        </w:rPr>
        <w:t>24</w:t>
      </w:r>
    </w:p>
    <w:p w14:paraId="615FDFCF" w14:textId="77777777" w:rsidR="000557F4" w:rsidRPr="00B90BA1" w:rsidRDefault="000557F4" w:rsidP="00F42E1E">
      <w:pPr>
        <w:rPr>
          <w:rFonts w:cs="Arial"/>
        </w:rPr>
      </w:pPr>
    </w:p>
    <w:p w14:paraId="236185B6" w14:textId="6DD4FC1B" w:rsidR="00F42E1E" w:rsidRPr="00B90BA1" w:rsidRDefault="00F42E1E" w:rsidP="00F42E1E">
      <w:pPr>
        <w:rPr>
          <w:rFonts w:cs="Arial"/>
        </w:rPr>
      </w:pPr>
      <w:r w:rsidRPr="00B90BA1">
        <w:rPr>
          <w:rFonts w:cs="Arial"/>
          <w:b/>
          <w:bCs/>
          <w:sz w:val="28"/>
        </w:rPr>
        <w:t xml:space="preserve">Has the Portfolio Holder(s) been consulted?  Yes      </w:t>
      </w:r>
    </w:p>
    <w:p w14:paraId="45A19EC7" w14:textId="59434FDF" w:rsidR="003313EA" w:rsidRPr="00B90BA1" w:rsidRDefault="003313EA" w:rsidP="00BF5AFA">
      <w:pPr>
        <w:pStyle w:val="Heading2"/>
        <w:spacing w:before="480" w:after="240"/>
        <w:rPr>
          <w:rFonts w:ascii="Arial" w:hAnsi="Arial"/>
        </w:rPr>
      </w:pPr>
      <w:r w:rsidRPr="00B90BA1">
        <w:rPr>
          <w:rFonts w:ascii="Arial" w:hAnsi="Arial"/>
        </w:rPr>
        <w:t>Mandatory Checks</w:t>
      </w:r>
    </w:p>
    <w:p w14:paraId="64551188" w14:textId="5E5E3841" w:rsidR="003313EA" w:rsidRPr="00B90BA1" w:rsidRDefault="003313EA" w:rsidP="003313EA">
      <w:pPr>
        <w:pStyle w:val="Heading3"/>
        <w:ind w:left="0" w:firstLine="0"/>
        <w:jc w:val="left"/>
      </w:pPr>
      <w:r w:rsidRPr="00B90BA1">
        <w:t xml:space="preserve">Ward Councillors notified:  </w:t>
      </w:r>
      <w:r w:rsidR="002A4C90">
        <w:t>Yes</w:t>
      </w:r>
    </w:p>
    <w:p w14:paraId="2A2D9472" w14:textId="1B9C1104" w:rsidR="003313EA" w:rsidRPr="00B90BA1" w:rsidRDefault="003313EA" w:rsidP="003313EA">
      <w:pPr>
        <w:pStyle w:val="Heading3"/>
        <w:spacing w:before="240"/>
        <w:rPr>
          <w:b w:val="0"/>
        </w:rPr>
      </w:pPr>
      <w:proofErr w:type="spellStart"/>
      <w:r w:rsidRPr="00B90BA1">
        <w:t>EqIA</w:t>
      </w:r>
      <w:proofErr w:type="spellEnd"/>
      <w:r w:rsidRPr="00B90BA1">
        <w:t xml:space="preserve"> carried out:  </w:t>
      </w:r>
      <w:r w:rsidR="00AB4071">
        <w:t>No</w:t>
      </w:r>
    </w:p>
    <w:p w14:paraId="6B589F3A" w14:textId="32A37A97" w:rsidR="003313EA" w:rsidRPr="00B77CB0" w:rsidRDefault="00AB4071" w:rsidP="00B77CB0">
      <w:pPr>
        <w:rPr>
          <w:rFonts w:cs="Arial"/>
          <w:iCs/>
          <w:szCs w:val="24"/>
          <w:lang w:eastAsia="en-GB"/>
        </w:rPr>
      </w:pPr>
      <w:r w:rsidRPr="00B77CB0">
        <w:rPr>
          <w:rFonts w:cs="Arial"/>
          <w:iCs/>
          <w:szCs w:val="24"/>
          <w:lang w:eastAsia="en-GB"/>
        </w:rPr>
        <w:t>As the</w:t>
      </w:r>
      <w:r w:rsidR="00B77CB0" w:rsidRPr="00B77CB0">
        <w:rPr>
          <w:rFonts w:cs="Arial"/>
          <w:iCs/>
          <w:szCs w:val="24"/>
          <w:lang w:eastAsia="en-GB"/>
        </w:rPr>
        <w:t xml:space="preserve"> </w:t>
      </w:r>
      <w:r w:rsidR="00B52A7F">
        <w:rPr>
          <w:rFonts w:cs="Arial"/>
          <w:iCs/>
          <w:szCs w:val="24"/>
          <w:lang w:eastAsia="en-GB"/>
        </w:rPr>
        <w:t>property</w:t>
      </w:r>
      <w:r w:rsidRPr="00B77CB0">
        <w:rPr>
          <w:rFonts w:cs="Arial"/>
          <w:iCs/>
          <w:szCs w:val="24"/>
          <w:lang w:eastAsia="en-GB"/>
        </w:rPr>
        <w:t xml:space="preserve"> will be openly marketed, th</w:t>
      </w:r>
      <w:r w:rsidR="00B77CB0" w:rsidRPr="00B77CB0">
        <w:rPr>
          <w:rFonts w:cs="Arial"/>
          <w:iCs/>
          <w:szCs w:val="24"/>
          <w:lang w:eastAsia="en-GB"/>
        </w:rPr>
        <w:t xml:space="preserve">is minimises any </w:t>
      </w:r>
      <w:r w:rsidRPr="00B77CB0">
        <w:rPr>
          <w:rFonts w:cs="Arial"/>
          <w:iCs/>
          <w:szCs w:val="24"/>
          <w:lang w:eastAsia="en-GB"/>
        </w:rPr>
        <w:t xml:space="preserve">potential for discrimination or negative impact and all opportunities to promote equality are </w:t>
      </w:r>
      <w:r w:rsidR="00B77CB0">
        <w:rPr>
          <w:rFonts w:cs="Arial"/>
          <w:iCs/>
          <w:szCs w:val="24"/>
          <w:lang w:eastAsia="en-GB"/>
        </w:rPr>
        <w:t>addressed through an open marketing process (e.g. signboards, information on</w:t>
      </w:r>
      <w:r w:rsidR="009770E3">
        <w:rPr>
          <w:rFonts w:cs="Arial"/>
          <w:iCs/>
          <w:szCs w:val="24"/>
          <w:lang w:eastAsia="en-GB"/>
        </w:rPr>
        <w:t xml:space="preserve"> the </w:t>
      </w:r>
      <w:r w:rsidR="00B77CB0">
        <w:rPr>
          <w:rFonts w:cs="Arial"/>
          <w:iCs/>
          <w:szCs w:val="24"/>
          <w:lang w:eastAsia="en-GB"/>
        </w:rPr>
        <w:t>website</w:t>
      </w:r>
      <w:r w:rsidR="009770E3">
        <w:rPr>
          <w:rFonts w:cs="Arial"/>
          <w:iCs/>
          <w:szCs w:val="24"/>
          <w:lang w:eastAsia="en-GB"/>
        </w:rPr>
        <w:t>, agents etc.).</w:t>
      </w:r>
    </w:p>
    <w:p w14:paraId="41E16C55" w14:textId="77777777" w:rsidR="00333FAA" w:rsidRPr="00421447" w:rsidRDefault="00333FAA" w:rsidP="00842757">
      <w:pPr>
        <w:pStyle w:val="Heading2"/>
        <w:spacing w:before="480" w:after="240"/>
      </w:pPr>
      <w:r w:rsidRPr="00421447">
        <w:t xml:space="preserve">Section </w:t>
      </w:r>
      <w:r w:rsidR="00A20113" w:rsidRPr="00421447">
        <w:t>4</w:t>
      </w:r>
      <w:r w:rsidRPr="00421447">
        <w:t xml:space="preserve"> - Contact Details and Background Papers</w:t>
      </w:r>
    </w:p>
    <w:p w14:paraId="0005C0E4" w14:textId="6BEBCD00" w:rsidR="00333FAA" w:rsidRPr="00421447" w:rsidRDefault="00333FAA" w:rsidP="00CC18AC">
      <w:pPr>
        <w:pStyle w:val="Infotext"/>
        <w:spacing w:after="240"/>
        <w:rPr>
          <w:rFonts w:cs="Arial"/>
          <w:color w:val="FF0000"/>
          <w:lang w:val="fr-FR"/>
        </w:rPr>
      </w:pPr>
      <w:r w:rsidRPr="00421447">
        <w:rPr>
          <w:rFonts w:cs="Arial"/>
          <w:b/>
          <w:lang w:val="fr-FR"/>
        </w:rPr>
        <w:t xml:space="preserve">Contact:  </w:t>
      </w:r>
      <w:r w:rsidR="009770E3" w:rsidRPr="00421447">
        <w:rPr>
          <w:rFonts w:cs="Arial"/>
          <w:lang w:val="fr-FR"/>
        </w:rPr>
        <w:t>Sophie Linton</w:t>
      </w:r>
      <w:r w:rsidR="00724E47" w:rsidRPr="00421447">
        <w:rPr>
          <w:rFonts w:cs="Arial"/>
          <w:lang w:val="fr-FR"/>
        </w:rPr>
        <w:t xml:space="preserve">, </w:t>
      </w:r>
      <w:proofErr w:type="spellStart"/>
      <w:r w:rsidR="00724E47" w:rsidRPr="00421447">
        <w:rPr>
          <w:rFonts w:cs="Arial"/>
          <w:lang w:val="fr-FR"/>
        </w:rPr>
        <w:t>Estates</w:t>
      </w:r>
      <w:proofErr w:type="spellEnd"/>
      <w:r w:rsidR="00724E47" w:rsidRPr="00421447">
        <w:rPr>
          <w:rFonts w:cs="Arial"/>
          <w:lang w:val="fr-FR"/>
        </w:rPr>
        <w:t xml:space="preserve"> Manager,</w:t>
      </w:r>
      <w:r w:rsidR="000F4D66">
        <w:rPr>
          <w:rFonts w:cs="Arial"/>
          <w:lang w:val="fr-FR"/>
        </w:rPr>
        <w:t xml:space="preserve"> </w:t>
      </w:r>
      <w:r w:rsidR="00724E47" w:rsidRPr="00421447">
        <w:rPr>
          <w:rFonts w:cs="Arial"/>
          <w:lang w:val="fr-FR"/>
        </w:rPr>
        <w:t>Sophie.linton@harrow.gov.uk</w:t>
      </w:r>
    </w:p>
    <w:p w14:paraId="77C58D4B" w14:textId="3B077692" w:rsidR="00333FAA" w:rsidRPr="00B90BA1" w:rsidRDefault="00333FAA" w:rsidP="00CC18AC">
      <w:pPr>
        <w:pStyle w:val="Infotext"/>
        <w:spacing w:after="240"/>
        <w:rPr>
          <w:rFonts w:cs="Arial"/>
          <w:b/>
        </w:rPr>
      </w:pPr>
      <w:r w:rsidRPr="00B90BA1">
        <w:rPr>
          <w:rFonts w:cs="Arial"/>
          <w:b/>
        </w:rPr>
        <w:t>Background Papers</w:t>
      </w:r>
      <w:r w:rsidR="008B30B1">
        <w:rPr>
          <w:rFonts w:cs="Arial"/>
          <w:b/>
        </w:rPr>
        <w:t xml:space="preserve">: </w:t>
      </w:r>
      <w:r w:rsidR="008B30B1" w:rsidRPr="008B30B1">
        <w:rPr>
          <w:rFonts w:cs="Arial"/>
          <w:bCs/>
        </w:rPr>
        <w:t>none</w:t>
      </w:r>
    </w:p>
    <w:p w14:paraId="7C8FEB52" w14:textId="68920CF0" w:rsidR="00842757" w:rsidRPr="00B90BA1" w:rsidRDefault="00842757" w:rsidP="00842757">
      <w:pPr>
        <w:pStyle w:val="Infotext"/>
        <w:spacing w:before="480"/>
        <w:rPr>
          <w:rFonts w:cs="Arial"/>
        </w:rPr>
      </w:pPr>
      <w:r w:rsidRPr="00B90BA1">
        <w:rPr>
          <w:rFonts w:cs="Arial"/>
        </w:rPr>
        <w:lastRenderedPageBreak/>
        <w:t>Call-in waived by the Chair of Overview and Scrutiny Committee</w:t>
      </w:r>
    </w:p>
    <w:p w14:paraId="17CDBD67" w14:textId="55D16432" w:rsidR="00842757" w:rsidRPr="008B30B1" w:rsidRDefault="008B30B1" w:rsidP="008B30B1">
      <w:pPr>
        <w:pStyle w:val="Infotext"/>
        <w:spacing w:after="240"/>
        <w:rPr>
          <w:rFonts w:cs="Arial"/>
          <w:b/>
        </w:rPr>
      </w:pPr>
      <w:r w:rsidRPr="008B30B1">
        <w:rPr>
          <w:rFonts w:cs="Arial"/>
          <w:b/>
        </w:rPr>
        <w:t>No</w:t>
      </w:r>
      <w:r w:rsidR="00842757" w:rsidRPr="00B90BA1">
        <w:rPr>
          <w:rFonts w:cs="Arial"/>
          <w:b/>
        </w:rPr>
        <w:t xml:space="preserve"> </w:t>
      </w:r>
    </w:p>
    <w:p w14:paraId="3CCA5C3B" w14:textId="34A0529E" w:rsidR="000D4E36" w:rsidRPr="00B90BA1" w:rsidRDefault="000D4E36" w:rsidP="00ED6776">
      <w:pPr>
        <w:pStyle w:val="Infotext"/>
        <w:tabs>
          <w:tab w:val="left" w:pos="3768"/>
          <w:tab w:val="left" w:pos="4315"/>
        </w:tabs>
        <w:rPr>
          <w:rFonts w:cs="Arial"/>
          <w:i/>
          <w:sz w:val="24"/>
          <w:szCs w:val="24"/>
          <w:lang w:eastAsia="en-GB"/>
        </w:rPr>
      </w:pPr>
    </w:p>
    <w:sectPr w:rsidR="000D4E36" w:rsidRPr="00B90BA1" w:rsidSect="001614E0">
      <w:headerReference w:type="default" r:id="rId13"/>
      <w:headerReference w:type="first" r:id="rId14"/>
      <w:footerReference w:type="firs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0E05" w14:textId="77777777" w:rsidR="005F41C5" w:rsidRDefault="005F41C5">
      <w:r>
        <w:separator/>
      </w:r>
    </w:p>
  </w:endnote>
  <w:endnote w:type="continuationSeparator" w:id="0">
    <w:p w14:paraId="6A9E2B0C" w14:textId="77777777" w:rsidR="005F41C5" w:rsidRDefault="005F41C5">
      <w:r>
        <w:continuationSeparator/>
      </w:r>
    </w:p>
  </w:endnote>
  <w:endnote w:type="continuationNotice" w:id="1">
    <w:p w14:paraId="32FE41E2" w14:textId="77777777" w:rsidR="005F41C5" w:rsidRDefault="005F4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287D" w14:textId="77777777" w:rsidR="005F41C5" w:rsidRDefault="005F41C5">
      <w:r>
        <w:separator/>
      </w:r>
    </w:p>
  </w:footnote>
  <w:footnote w:type="continuationSeparator" w:id="0">
    <w:p w14:paraId="341CFE74" w14:textId="77777777" w:rsidR="005F41C5" w:rsidRDefault="005F41C5">
      <w:r>
        <w:continuationSeparator/>
      </w:r>
    </w:p>
  </w:footnote>
  <w:footnote w:type="continuationNotice" w:id="1">
    <w:p w14:paraId="41D27E8D" w14:textId="77777777" w:rsidR="005F41C5" w:rsidRDefault="005F4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DE2"/>
    <w:multiLevelType w:val="hybridMultilevel"/>
    <w:tmpl w:val="CADA86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C3A9C"/>
    <w:multiLevelType w:val="hybridMultilevel"/>
    <w:tmpl w:val="91667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72CC"/>
    <w:multiLevelType w:val="hybridMultilevel"/>
    <w:tmpl w:val="2A8EE1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5823"/>
    <w:multiLevelType w:val="hybridMultilevel"/>
    <w:tmpl w:val="91CCB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961CC"/>
    <w:multiLevelType w:val="multilevel"/>
    <w:tmpl w:val="2E66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66B50"/>
    <w:multiLevelType w:val="hybridMultilevel"/>
    <w:tmpl w:val="5176A7C2"/>
    <w:lvl w:ilvl="0" w:tplc="C6B258D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4132FA"/>
    <w:multiLevelType w:val="hybridMultilevel"/>
    <w:tmpl w:val="FF96B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268A"/>
    <w:multiLevelType w:val="hybridMultilevel"/>
    <w:tmpl w:val="2722AC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635F0"/>
    <w:multiLevelType w:val="hybridMultilevel"/>
    <w:tmpl w:val="A7CA6002"/>
    <w:lvl w:ilvl="0" w:tplc="BDE471FC">
      <w:start w:val="1"/>
      <w:numFmt w:val="decimal"/>
      <w:lvlText w:val="%1."/>
      <w:lvlJc w:val="left"/>
      <w:pPr>
        <w:ind w:left="1080" w:hanging="720"/>
      </w:pPr>
      <w:rPr>
        <w:rFonts w:hint="default"/>
      </w:rPr>
    </w:lvl>
    <w:lvl w:ilvl="1" w:tplc="45C61F28">
      <w:numFmt w:val="bullet"/>
      <w:lvlText w:val="•"/>
      <w:lvlJc w:val="left"/>
      <w:pPr>
        <w:ind w:left="1800" w:hanging="720"/>
      </w:pPr>
      <w:rPr>
        <w:rFonts w:ascii="Arial MT Std Light" w:eastAsia="Times New Roman" w:hAnsi="Arial MT Std Light" w:cs="Arial MT Std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E027045"/>
    <w:multiLevelType w:val="hybridMultilevel"/>
    <w:tmpl w:val="C66CD558"/>
    <w:lvl w:ilvl="0" w:tplc="08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F4064A5"/>
    <w:multiLevelType w:val="multilevel"/>
    <w:tmpl w:val="6BA059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2A433F"/>
    <w:multiLevelType w:val="multilevel"/>
    <w:tmpl w:val="19D6AEC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46E1700"/>
    <w:multiLevelType w:val="hybridMultilevel"/>
    <w:tmpl w:val="2B1634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57624B"/>
    <w:multiLevelType w:val="hybridMultilevel"/>
    <w:tmpl w:val="4B70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617340">
    <w:abstractNumId w:val="6"/>
  </w:num>
  <w:num w:numId="2" w16cid:durableId="1341591366">
    <w:abstractNumId w:val="11"/>
  </w:num>
  <w:num w:numId="3" w16cid:durableId="333185153">
    <w:abstractNumId w:val="10"/>
  </w:num>
  <w:num w:numId="4" w16cid:durableId="280721593">
    <w:abstractNumId w:val="4"/>
  </w:num>
  <w:num w:numId="5" w16cid:durableId="1213926118">
    <w:abstractNumId w:val="3"/>
  </w:num>
  <w:num w:numId="6" w16cid:durableId="1312251641">
    <w:abstractNumId w:val="13"/>
  </w:num>
  <w:num w:numId="7" w16cid:durableId="1402369257">
    <w:abstractNumId w:val="2"/>
  </w:num>
  <w:num w:numId="8" w16cid:durableId="18557054">
    <w:abstractNumId w:val="5"/>
  </w:num>
  <w:num w:numId="9" w16cid:durableId="1350598118">
    <w:abstractNumId w:val="15"/>
  </w:num>
  <w:num w:numId="10" w16cid:durableId="56631554">
    <w:abstractNumId w:val="1"/>
  </w:num>
  <w:num w:numId="11" w16cid:durableId="1534688797">
    <w:abstractNumId w:val="9"/>
  </w:num>
  <w:num w:numId="12" w16cid:durableId="1185168792">
    <w:abstractNumId w:val="0"/>
  </w:num>
  <w:num w:numId="13" w16cid:durableId="972055321">
    <w:abstractNumId w:val="7"/>
  </w:num>
  <w:num w:numId="14" w16cid:durableId="1912350415">
    <w:abstractNumId w:val="8"/>
  </w:num>
  <w:num w:numId="15" w16cid:durableId="707413117">
    <w:abstractNumId w:val="14"/>
  </w:num>
  <w:num w:numId="16" w16cid:durableId="242837863">
    <w:abstractNumId w:val="16"/>
  </w:num>
  <w:num w:numId="17" w16cid:durableId="1489901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352205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6CEB"/>
    <w:rsid w:val="00010F30"/>
    <w:rsid w:val="00012DE7"/>
    <w:rsid w:val="00015432"/>
    <w:rsid w:val="00026C12"/>
    <w:rsid w:val="000309EF"/>
    <w:rsid w:val="0003412A"/>
    <w:rsid w:val="00036BA3"/>
    <w:rsid w:val="00037F86"/>
    <w:rsid w:val="0004029A"/>
    <w:rsid w:val="000414D1"/>
    <w:rsid w:val="00042D36"/>
    <w:rsid w:val="00043C3E"/>
    <w:rsid w:val="000474E3"/>
    <w:rsid w:val="00051CF8"/>
    <w:rsid w:val="000527E8"/>
    <w:rsid w:val="000530A4"/>
    <w:rsid w:val="000557F4"/>
    <w:rsid w:val="0006034E"/>
    <w:rsid w:val="0006342E"/>
    <w:rsid w:val="00063783"/>
    <w:rsid w:val="00063BF3"/>
    <w:rsid w:val="000728DA"/>
    <w:rsid w:val="00072A6D"/>
    <w:rsid w:val="00073765"/>
    <w:rsid w:val="00091F77"/>
    <w:rsid w:val="000929A6"/>
    <w:rsid w:val="00095FA1"/>
    <w:rsid w:val="000A5027"/>
    <w:rsid w:val="000B1A1C"/>
    <w:rsid w:val="000B5015"/>
    <w:rsid w:val="000B5673"/>
    <w:rsid w:val="000B788F"/>
    <w:rsid w:val="000B7C66"/>
    <w:rsid w:val="000C6038"/>
    <w:rsid w:val="000D4E36"/>
    <w:rsid w:val="000D58C7"/>
    <w:rsid w:val="000D5F1E"/>
    <w:rsid w:val="000D7FC2"/>
    <w:rsid w:val="000E62FE"/>
    <w:rsid w:val="000F09FC"/>
    <w:rsid w:val="000F4D66"/>
    <w:rsid w:val="00102686"/>
    <w:rsid w:val="00105B8A"/>
    <w:rsid w:val="0011413B"/>
    <w:rsid w:val="001161E4"/>
    <w:rsid w:val="00122DBD"/>
    <w:rsid w:val="00125A26"/>
    <w:rsid w:val="001313E2"/>
    <w:rsid w:val="001364BF"/>
    <w:rsid w:val="001411E9"/>
    <w:rsid w:val="00143240"/>
    <w:rsid w:val="001472A8"/>
    <w:rsid w:val="001506C3"/>
    <w:rsid w:val="0015376F"/>
    <w:rsid w:val="0016113D"/>
    <w:rsid w:val="001614E0"/>
    <w:rsid w:val="00162847"/>
    <w:rsid w:val="00163699"/>
    <w:rsid w:val="001649E3"/>
    <w:rsid w:val="001702BC"/>
    <w:rsid w:val="00171BD8"/>
    <w:rsid w:val="001762FA"/>
    <w:rsid w:val="0017653E"/>
    <w:rsid w:val="00182B01"/>
    <w:rsid w:val="00182B1B"/>
    <w:rsid w:val="001840D2"/>
    <w:rsid w:val="00192135"/>
    <w:rsid w:val="0019558E"/>
    <w:rsid w:val="001966D7"/>
    <w:rsid w:val="001A1C5A"/>
    <w:rsid w:val="001A370A"/>
    <w:rsid w:val="001A570A"/>
    <w:rsid w:val="001C2FB4"/>
    <w:rsid w:val="001C4D2E"/>
    <w:rsid w:val="001C7E35"/>
    <w:rsid w:val="001D3ADD"/>
    <w:rsid w:val="001D6AC7"/>
    <w:rsid w:val="001E3C06"/>
    <w:rsid w:val="001E7B6B"/>
    <w:rsid w:val="001F0037"/>
    <w:rsid w:val="001F0BE9"/>
    <w:rsid w:val="00202D79"/>
    <w:rsid w:val="00205D2F"/>
    <w:rsid w:val="00213396"/>
    <w:rsid w:val="00215E8F"/>
    <w:rsid w:val="0022106D"/>
    <w:rsid w:val="00221A93"/>
    <w:rsid w:val="0022679E"/>
    <w:rsid w:val="002322BB"/>
    <w:rsid w:val="00244D59"/>
    <w:rsid w:val="00250333"/>
    <w:rsid w:val="00251254"/>
    <w:rsid w:val="002548D1"/>
    <w:rsid w:val="002673DD"/>
    <w:rsid w:val="0027283B"/>
    <w:rsid w:val="00277052"/>
    <w:rsid w:val="0028019B"/>
    <w:rsid w:val="00282E73"/>
    <w:rsid w:val="00283CAB"/>
    <w:rsid w:val="0028525A"/>
    <w:rsid w:val="002915F5"/>
    <w:rsid w:val="002959B4"/>
    <w:rsid w:val="002A3853"/>
    <w:rsid w:val="002A3FEF"/>
    <w:rsid w:val="002A4C90"/>
    <w:rsid w:val="002B54A6"/>
    <w:rsid w:val="002E7FA0"/>
    <w:rsid w:val="002F1A5B"/>
    <w:rsid w:val="002F3EE9"/>
    <w:rsid w:val="003055EF"/>
    <w:rsid w:val="00307F76"/>
    <w:rsid w:val="00316D1C"/>
    <w:rsid w:val="00317E92"/>
    <w:rsid w:val="003218DB"/>
    <w:rsid w:val="00321FBB"/>
    <w:rsid w:val="0032310C"/>
    <w:rsid w:val="00330832"/>
    <w:rsid w:val="003313EA"/>
    <w:rsid w:val="00333FAA"/>
    <w:rsid w:val="003355D7"/>
    <w:rsid w:val="0034020F"/>
    <w:rsid w:val="003458A7"/>
    <w:rsid w:val="00345D96"/>
    <w:rsid w:val="003520AB"/>
    <w:rsid w:val="00356BB1"/>
    <w:rsid w:val="0036201C"/>
    <w:rsid w:val="00365F8E"/>
    <w:rsid w:val="0036682A"/>
    <w:rsid w:val="00367A79"/>
    <w:rsid w:val="00376768"/>
    <w:rsid w:val="00377569"/>
    <w:rsid w:val="00380F87"/>
    <w:rsid w:val="003833F6"/>
    <w:rsid w:val="00384DE2"/>
    <w:rsid w:val="0038763F"/>
    <w:rsid w:val="00391075"/>
    <w:rsid w:val="00391E3A"/>
    <w:rsid w:val="00396DB5"/>
    <w:rsid w:val="003A23C6"/>
    <w:rsid w:val="003A302E"/>
    <w:rsid w:val="003A756C"/>
    <w:rsid w:val="003B6A0A"/>
    <w:rsid w:val="003B7A33"/>
    <w:rsid w:val="003C270D"/>
    <w:rsid w:val="003C2836"/>
    <w:rsid w:val="003D08BA"/>
    <w:rsid w:val="003D5927"/>
    <w:rsid w:val="003D66B8"/>
    <w:rsid w:val="003F10AF"/>
    <w:rsid w:val="003F200F"/>
    <w:rsid w:val="003F2438"/>
    <w:rsid w:val="003F3AFD"/>
    <w:rsid w:val="00402CFA"/>
    <w:rsid w:val="00405CA6"/>
    <w:rsid w:val="004076C8"/>
    <w:rsid w:val="00410442"/>
    <w:rsid w:val="0042073C"/>
    <w:rsid w:val="004207E3"/>
    <w:rsid w:val="00421447"/>
    <w:rsid w:val="004214BB"/>
    <w:rsid w:val="00421A4C"/>
    <w:rsid w:val="004221DB"/>
    <w:rsid w:val="004238C2"/>
    <w:rsid w:val="004326D0"/>
    <w:rsid w:val="004343AE"/>
    <w:rsid w:val="0043551B"/>
    <w:rsid w:val="00435B5D"/>
    <w:rsid w:val="004363F7"/>
    <w:rsid w:val="0044525C"/>
    <w:rsid w:val="00450FEE"/>
    <w:rsid w:val="004510EE"/>
    <w:rsid w:val="004553F1"/>
    <w:rsid w:val="0046386A"/>
    <w:rsid w:val="00466226"/>
    <w:rsid w:val="004668F4"/>
    <w:rsid w:val="0046702E"/>
    <w:rsid w:val="0046765F"/>
    <w:rsid w:val="00467814"/>
    <w:rsid w:val="00471C1F"/>
    <w:rsid w:val="00475F24"/>
    <w:rsid w:val="00480364"/>
    <w:rsid w:val="004809FA"/>
    <w:rsid w:val="00483201"/>
    <w:rsid w:val="00486391"/>
    <w:rsid w:val="004901F2"/>
    <w:rsid w:val="00491C24"/>
    <w:rsid w:val="0049479F"/>
    <w:rsid w:val="00496688"/>
    <w:rsid w:val="004B411F"/>
    <w:rsid w:val="004B42FB"/>
    <w:rsid w:val="004C0724"/>
    <w:rsid w:val="004C2D09"/>
    <w:rsid w:val="004C4A75"/>
    <w:rsid w:val="004D19C2"/>
    <w:rsid w:val="004D2DA0"/>
    <w:rsid w:val="004D3E02"/>
    <w:rsid w:val="004D6402"/>
    <w:rsid w:val="004E14A4"/>
    <w:rsid w:val="004F1CEE"/>
    <w:rsid w:val="004F54BD"/>
    <w:rsid w:val="004F56C5"/>
    <w:rsid w:val="00506185"/>
    <w:rsid w:val="0051181C"/>
    <w:rsid w:val="00517B3C"/>
    <w:rsid w:val="00520B1D"/>
    <w:rsid w:val="005354D0"/>
    <w:rsid w:val="00537F2E"/>
    <w:rsid w:val="0054172C"/>
    <w:rsid w:val="005458E4"/>
    <w:rsid w:val="0054590F"/>
    <w:rsid w:val="005459EC"/>
    <w:rsid w:val="005475B0"/>
    <w:rsid w:val="00552650"/>
    <w:rsid w:val="00555F8F"/>
    <w:rsid w:val="00563EA4"/>
    <w:rsid w:val="00571503"/>
    <w:rsid w:val="005718B5"/>
    <w:rsid w:val="005808FB"/>
    <w:rsid w:val="005811F8"/>
    <w:rsid w:val="00582605"/>
    <w:rsid w:val="00583A37"/>
    <w:rsid w:val="005848C8"/>
    <w:rsid w:val="00591016"/>
    <w:rsid w:val="00592E8D"/>
    <w:rsid w:val="005A64E0"/>
    <w:rsid w:val="005B3F67"/>
    <w:rsid w:val="005B40AC"/>
    <w:rsid w:val="005C4C17"/>
    <w:rsid w:val="005C4DBA"/>
    <w:rsid w:val="005C4E53"/>
    <w:rsid w:val="005D0289"/>
    <w:rsid w:val="005D03B6"/>
    <w:rsid w:val="005D1B7D"/>
    <w:rsid w:val="005D4FF9"/>
    <w:rsid w:val="005D548F"/>
    <w:rsid w:val="005D5543"/>
    <w:rsid w:val="005D5C90"/>
    <w:rsid w:val="005D6EF5"/>
    <w:rsid w:val="005E0125"/>
    <w:rsid w:val="005E3A10"/>
    <w:rsid w:val="005E4728"/>
    <w:rsid w:val="005E613A"/>
    <w:rsid w:val="005E7509"/>
    <w:rsid w:val="005F024B"/>
    <w:rsid w:val="005F41C5"/>
    <w:rsid w:val="005F4BE6"/>
    <w:rsid w:val="005F6F97"/>
    <w:rsid w:val="00600662"/>
    <w:rsid w:val="00601D7F"/>
    <w:rsid w:val="00605A4C"/>
    <w:rsid w:val="00614C9A"/>
    <w:rsid w:val="00620F34"/>
    <w:rsid w:val="00624DF9"/>
    <w:rsid w:val="006305F9"/>
    <w:rsid w:val="0064146F"/>
    <w:rsid w:val="00644091"/>
    <w:rsid w:val="00645B8B"/>
    <w:rsid w:val="00654E02"/>
    <w:rsid w:val="00655044"/>
    <w:rsid w:val="00662DEE"/>
    <w:rsid w:val="00664C71"/>
    <w:rsid w:val="00666922"/>
    <w:rsid w:val="00666C17"/>
    <w:rsid w:val="00670F17"/>
    <w:rsid w:val="006710C7"/>
    <w:rsid w:val="00674190"/>
    <w:rsid w:val="006845F8"/>
    <w:rsid w:val="00693747"/>
    <w:rsid w:val="0069501F"/>
    <w:rsid w:val="006956F6"/>
    <w:rsid w:val="00696A83"/>
    <w:rsid w:val="006A50D3"/>
    <w:rsid w:val="006A52AF"/>
    <w:rsid w:val="006B27A4"/>
    <w:rsid w:val="006B5ED7"/>
    <w:rsid w:val="006B7A86"/>
    <w:rsid w:val="006C580A"/>
    <w:rsid w:val="006D1E69"/>
    <w:rsid w:val="006D6913"/>
    <w:rsid w:val="006F057C"/>
    <w:rsid w:val="006F22DA"/>
    <w:rsid w:val="006F2EB3"/>
    <w:rsid w:val="006F5266"/>
    <w:rsid w:val="00702629"/>
    <w:rsid w:val="00706F4E"/>
    <w:rsid w:val="007112D1"/>
    <w:rsid w:val="007116B1"/>
    <w:rsid w:val="00711758"/>
    <w:rsid w:val="007140D7"/>
    <w:rsid w:val="00714BEE"/>
    <w:rsid w:val="00721215"/>
    <w:rsid w:val="00724E47"/>
    <w:rsid w:val="0073088C"/>
    <w:rsid w:val="00731909"/>
    <w:rsid w:val="007400CF"/>
    <w:rsid w:val="00741705"/>
    <w:rsid w:val="00742AC0"/>
    <w:rsid w:val="00742E24"/>
    <w:rsid w:val="007477D6"/>
    <w:rsid w:val="00751F5A"/>
    <w:rsid w:val="0075699C"/>
    <w:rsid w:val="00760176"/>
    <w:rsid w:val="00767044"/>
    <w:rsid w:val="00771452"/>
    <w:rsid w:val="00784209"/>
    <w:rsid w:val="00785AE3"/>
    <w:rsid w:val="00785E94"/>
    <w:rsid w:val="007906E9"/>
    <w:rsid w:val="0079508B"/>
    <w:rsid w:val="00795C00"/>
    <w:rsid w:val="007A5584"/>
    <w:rsid w:val="007B23FC"/>
    <w:rsid w:val="007B2536"/>
    <w:rsid w:val="007C131E"/>
    <w:rsid w:val="007D0C1D"/>
    <w:rsid w:val="007D2000"/>
    <w:rsid w:val="007D4DBF"/>
    <w:rsid w:val="007D684A"/>
    <w:rsid w:val="007E09AE"/>
    <w:rsid w:val="007E4732"/>
    <w:rsid w:val="007E4BA4"/>
    <w:rsid w:val="007E5EF3"/>
    <w:rsid w:val="007F004E"/>
    <w:rsid w:val="007F335A"/>
    <w:rsid w:val="007F6AB9"/>
    <w:rsid w:val="00801B02"/>
    <w:rsid w:val="00803104"/>
    <w:rsid w:val="008039A5"/>
    <w:rsid w:val="00803A3F"/>
    <w:rsid w:val="00804628"/>
    <w:rsid w:val="008049CA"/>
    <w:rsid w:val="00812901"/>
    <w:rsid w:val="00820E75"/>
    <w:rsid w:val="0082233B"/>
    <w:rsid w:val="00822663"/>
    <w:rsid w:val="008231F1"/>
    <w:rsid w:val="00825BB1"/>
    <w:rsid w:val="00826B9A"/>
    <w:rsid w:val="00842757"/>
    <w:rsid w:val="00843CC2"/>
    <w:rsid w:val="0085266D"/>
    <w:rsid w:val="0085599E"/>
    <w:rsid w:val="00863B32"/>
    <w:rsid w:val="00864721"/>
    <w:rsid w:val="00871197"/>
    <w:rsid w:val="00872E16"/>
    <w:rsid w:val="00872E51"/>
    <w:rsid w:val="008774EF"/>
    <w:rsid w:val="00887999"/>
    <w:rsid w:val="00890C76"/>
    <w:rsid w:val="00891668"/>
    <w:rsid w:val="0089743C"/>
    <w:rsid w:val="008978F2"/>
    <w:rsid w:val="008A5AA0"/>
    <w:rsid w:val="008B135E"/>
    <w:rsid w:val="008B2DB5"/>
    <w:rsid w:val="008B30B1"/>
    <w:rsid w:val="008C4C5E"/>
    <w:rsid w:val="008C4E04"/>
    <w:rsid w:val="008D77F6"/>
    <w:rsid w:val="008E224D"/>
    <w:rsid w:val="009036FC"/>
    <w:rsid w:val="0092421F"/>
    <w:rsid w:val="0092530B"/>
    <w:rsid w:val="00931496"/>
    <w:rsid w:val="009341A6"/>
    <w:rsid w:val="0094208C"/>
    <w:rsid w:val="00942F17"/>
    <w:rsid w:val="00943236"/>
    <w:rsid w:val="00943A95"/>
    <w:rsid w:val="00951D1C"/>
    <w:rsid w:val="00952CEF"/>
    <w:rsid w:val="00955421"/>
    <w:rsid w:val="00960BFD"/>
    <w:rsid w:val="0096111F"/>
    <w:rsid w:val="00965E97"/>
    <w:rsid w:val="00975EC8"/>
    <w:rsid w:val="00976F54"/>
    <w:rsid w:val="009770E3"/>
    <w:rsid w:val="0098436C"/>
    <w:rsid w:val="00990E9C"/>
    <w:rsid w:val="00992D4C"/>
    <w:rsid w:val="00994542"/>
    <w:rsid w:val="00994908"/>
    <w:rsid w:val="009A293A"/>
    <w:rsid w:val="009B160B"/>
    <w:rsid w:val="009B7B3F"/>
    <w:rsid w:val="009C237B"/>
    <w:rsid w:val="009C3C29"/>
    <w:rsid w:val="009C4DD1"/>
    <w:rsid w:val="009D1C16"/>
    <w:rsid w:val="009D27E0"/>
    <w:rsid w:val="009D66A0"/>
    <w:rsid w:val="009E5A93"/>
    <w:rsid w:val="009F3154"/>
    <w:rsid w:val="009F637A"/>
    <w:rsid w:val="00A062D0"/>
    <w:rsid w:val="00A1211C"/>
    <w:rsid w:val="00A15510"/>
    <w:rsid w:val="00A20113"/>
    <w:rsid w:val="00A207DB"/>
    <w:rsid w:val="00A20D78"/>
    <w:rsid w:val="00A2215F"/>
    <w:rsid w:val="00A22839"/>
    <w:rsid w:val="00A23E19"/>
    <w:rsid w:val="00A27357"/>
    <w:rsid w:val="00A27AFE"/>
    <w:rsid w:val="00A304EB"/>
    <w:rsid w:val="00A31AD2"/>
    <w:rsid w:val="00A33185"/>
    <w:rsid w:val="00A331EE"/>
    <w:rsid w:val="00A406C8"/>
    <w:rsid w:val="00A40C58"/>
    <w:rsid w:val="00A432A0"/>
    <w:rsid w:val="00A450CE"/>
    <w:rsid w:val="00A53B04"/>
    <w:rsid w:val="00A65876"/>
    <w:rsid w:val="00A65BF4"/>
    <w:rsid w:val="00A661F4"/>
    <w:rsid w:val="00A66326"/>
    <w:rsid w:val="00A70A58"/>
    <w:rsid w:val="00A7271A"/>
    <w:rsid w:val="00A74470"/>
    <w:rsid w:val="00A74D79"/>
    <w:rsid w:val="00A808B8"/>
    <w:rsid w:val="00A81E19"/>
    <w:rsid w:val="00A83B04"/>
    <w:rsid w:val="00A911F6"/>
    <w:rsid w:val="00A92DE6"/>
    <w:rsid w:val="00A9723B"/>
    <w:rsid w:val="00AA2C58"/>
    <w:rsid w:val="00AB4071"/>
    <w:rsid w:val="00AB73F6"/>
    <w:rsid w:val="00AB795F"/>
    <w:rsid w:val="00AC1DF8"/>
    <w:rsid w:val="00AC6312"/>
    <w:rsid w:val="00AD1E77"/>
    <w:rsid w:val="00AD6BB9"/>
    <w:rsid w:val="00AD6D80"/>
    <w:rsid w:val="00AE4D2F"/>
    <w:rsid w:val="00AE69A3"/>
    <w:rsid w:val="00AF31F7"/>
    <w:rsid w:val="00B008A4"/>
    <w:rsid w:val="00B052A4"/>
    <w:rsid w:val="00B108D6"/>
    <w:rsid w:val="00B1160D"/>
    <w:rsid w:val="00B139FB"/>
    <w:rsid w:val="00B14A59"/>
    <w:rsid w:val="00B2317A"/>
    <w:rsid w:val="00B2318D"/>
    <w:rsid w:val="00B444E6"/>
    <w:rsid w:val="00B50283"/>
    <w:rsid w:val="00B52011"/>
    <w:rsid w:val="00B52A7F"/>
    <w:rsid w:val="00B53244"/>
    <w:rsid w:val="00B53EFF"/>
    <w:rsid w:val="00B54AFA"/>
    <w:rsid w:val="00B565FD"/>
    <w:rsid w:val="00B64BE0"/>
    <w:rsid w:val="00B6629B"/>
    <w:rsid w:val="00B671A4"/>
    <w:rsid w:val="00B77CB0"/>
    <w:rsid w:val="00B804E8"/>
    <w:rsid w:val="00B87CEC"/>
    <w:rsid w:val="00B90BA1"/>
    <w:rsid w:val="00BA2380"/>
    <w:rsid w:val="00BA25A6"/>
    <w:rsid w:val="00BC0F73"/>
    <w:rsid w:val="00BC206C"/>
    <w:rsid w:val="00BC431A"/>
    <w:rsid w:val="00BD1396"/>
    <w:rsid w:val="00BD20E1"/>
    <w:rsid w:val="00BD3C7C"/>
    <w:rsid w:val="00BF21AB"/>
    <w:rsid w:val="00BF2629"/>
    <w:rsid w:val="00BF3318"/>
    <w:rsid w:val="00BF4FFD"/>
    <w:rsid w:val="00BF5AFA"/>
    <w:rsid w:val="00C006B2"/>
    <w:rsid w:val="00C010A6"/>
    <w:rsid w:val="00C01A35"/>
    <w:rsid w:val="00C01E05"/>
    <w:rsid w:val="00C03772"/>
    <w:rsid w:val="00C04EDA"/>
    <w:rsid w:val="00C069D0"/>
    <w:rsid w:val="00C119A2"/>
    <w:rsid w:val="00C14805"/>
    <w:rsid w:val="00C1524C"/>
    <w:rsid w:val="00C160E4"/>
    <w:rsid w:val="00C20999"/>
    <w:rsid w:val="00C26085"/>
    <w:rsid w:val="00C308FA"/>
    <w:rsid w:val="00C33401"/>
    <w:rsid w:val="00C53F1A"/>
    <w:rsid w:val="00C57267"/>
    <w:rsid w:val="00C603FA"/>
    <w:rsid w:val="00C616FF"/>
    <w:rsid w:val="00C61B98"/>
    <w:rsid w:val="00C62B63"/>
    <w:rsid w:val="00C63B8B"/>
    <w:rsid w:val="00C71806"/>
    <w:rsid w:val="00C72B5B"/>
    <w:rsid w:val="00C76F8E"/>
    <w:rsid w:val="00C833BF"/>
    <w:rsid w:val="00C85A26"/>
    <w:rsid w:val="00C869F3"/>
    <w:rsid w:val="00C91B9A"/>
    <w:rsid w:val="00C96BAB"/>
    <w:rsid w:val="00CA210D"/>
    <w:rsid w:val="00CB7A84"/>
    <w:rsid w:val="00CC0476"/>
    <w:rsid w:val="00CC1674"/>
    <w:rsid w:val="00CC18AC"/>
    <w:rsid w:val="00CC1EB4"/>
    <w:rsid w:val="00CD2CD6"/>
    <w:rsid w:val="00CD3278"/>
    <w:rsid w:val="00CD7D5D"/>
    <w:rsid w:val="00CE28B3"/>
    <w:rsid w:val="00CE61A8"/>
    <w:rsid w:val="00CF0621"/>
    <w:rsid w:val="00CF0FC4"/>
    <w:rsid w:val="00CF354D"/>
    <w:rsid w:val="00CF6932"/>
    <w:rsid w:val="00D01FE3"/>
    <w:rsid w:val="00D02D72"/>
    <w:rsid w:val="00D0381E"/>
    <w:rsid w:val="00D06CA3"/>
    <w:rsid w:val="00D076FC"/>
    <w:rsid w:val="00D07F46"/>
    <w:rsid w:val="00D170E5"/>
    <w:rsid w:val="00D174E5"/>
    <w:rsid w:val="00D32596"/>
    <w:rsid w:val="00D37F2F"/>
    <w:rsid w:val="00D4054F"/>
    <w:rsid w:val="00D415B9"/>
    <w:rsid w:val="00D50C4A"/>
    <w:rsid w:val="00D528E8"/>
    <w:rsid w:val="00D5447E"/>
    <w:rsid w:val="00D54895"/>
    <w:rsid w:val="00D56BEC"/>
    <w:rsid w:val="00D707B6"/>
    <w:rsid w:val="00D719F5"/>
    <w:rsid w:val="00D771D0"/>
    <w:rsid w:val="00D835CF"/>
    <w:rsid w:val="00D9792F"/>
    <w:rsid w:val="00DA176F"/>
    <w:rsid w:val="00DA26FB"/>
    <w:rsid w:val="00DA2F9E"/>
    <w:rsid w:val="00DA36BE"/>
    <w:rsid w:val="00DB6B37"/>
    <w:rsid w:val="00DB6C3D"/>
    <w:rsid w:val="00DC33F0"/>
    <w:rsid w:val="00DC5ACF"/>
    <w:rsid w:val="00DC698B"/>
    <w:rsid w:val="00DD30B0"/>
    <w:rsid w:val="00DD3573"/>
    <w:rsid w:val="00DD6BB7"/>
    <w:rsid w:val="00DD6DC5"/>
    <w:rsid w:val="00DD7468"/>
    <w:rsid w:val="00DE25E9"/>
    <w:rsid w:val="00DE71D3"/>
    <w:rsid w:val="00DE72CF"/>
    <w:rsid w:val="00DE7F8E"/>
    <w:rsid w:val="00DF08A0"/>
    <w:rsid w:val="00DF111E"/>
    <w:rsid w:val="00DF5B41"/>
    <w:rsid w:val="00E07B6A"/>
    <w:rsid w:val="00E12DE0"/>
    <w:rsid w:val="00E13BEF"/>
    <w:rsid w:val="00E155AB"/>
    <w:rsid w:val="00E15685"/>
    <w:rsid w:val="00E26FC1"/>
    <w:rsid w:val="00E27562"/>
    <w:rsid w:val="00E2761C"/>
    <w:rsid w:val="00E27AAF"/>
    <w:rsid w:val="00E35627"/>
    <w:rsid w:val="00E42B6C"/>
    <w:rsid w:val="00E4358F"/>
    <w:rsid w:val="00E45FD3"/>
    <w:rsid w:val="00E505C2"/>
    <w:rsid w:val="00E509C7"/>
    <w:rsid w:val="00E6767F"/>
    <w:rsid w:val="00E70760"/>
    <w:rsid w:val="00E776EE"/>
    <w:rsid w:val="00E84045"/>
    <w:rsid w:val="00E84E7B"/>
    <w:rsid w:val="00E86255"/>
    <w:rsid w:val="00E9253C"/>
    <w:rsid w:val="00E95225"/>
    <w:rsid w:val="00EA4BF8"/>
    <w:rsid w:val="00EB0C07"/>
    <w:rsid w:val="00EB29A6"/>
    <w:rsid w:val="00EB3CF0"/>
    <w:rsid w:val="00EB45B5"/>
    <w:rsid w:val="00EB5E57"/>
    <w:rsid w:val="00EB61DB"/>
    <w:rsid w:val="00ED1AD0"/>
    <w:rsid w:val="00ED3C93"/>
    <w:rsid w:val="00ED4AFD"/>
    <w:rsid w:val="00ED6776"/>
    <w:rsid w:val="00EE4FBE"/>
    <w:rsid w:val="00F00126"/>
    <w:rsid w:val="00F0367F"/>
    <w:rsid w:val="00F038A1"/>
    <w:rsid w:val="00F06E4E"/>
    <w:rsid w:val="00F2364A"/>
    <w:rsid w:val="00F238E0"/>
    <w:rsid w:val="00F24AAB"/>
    <w:rsid w:val="00F36590"/>
    <w:rsid w:val="00F42E1E"/>
    <w:rsid w:val="00F44F0F"/>
    <w:rsid w:val="00F4517A"/>
    <w:rsid w:val="00F46FE7"/>
    <w:rsid w:val="00F51E01"/>
    <w:rsid w:val="00F53ABE"/>
    <w:rsid w:val="00F55888"/>
    <w:rsid w:val="00F5649A"/>
    <w:rsid w:val="00F60F8E"/>
    <w:rsid w:val="00F67DC5"/>
    <w:rsid w:val="00F76296"/>
    <w:rsid w:val="00F777A2"/>
    <w:rsid w:val="00F82342"/>
    <w:rsid w:val="00F831AB"/>
    <w:rsid w:val="00F86BD3"/>
    <w:rsid w:val="00F877DB"/>
    <w:rsid w:val="00F91AE4"/>
    <w:rsid w:val="00F93C8B"/>
    <w:rsid w:val="00F959DD"/>
    <w:rsid w:val="00F960D5"/>
    <w:rsid w:val="00F97779"/>
    <w:rsid w:val="00FA10A4"/>
    <w:rsid w:val="00FA2B03"/>
    <w:rsid w:val="00FA4399"/>
    <w:rsid w:val="00FB0C68"/>
    <w:rsid w:val="00FB1231"/>
    <w:rsid w:val="00FB79EA"/>
    <w:rsid w:val="00FC110A"/>
    <w:rsid w:val="00FC16BF"/>
    <w:rsid w:val="00FC1C5C"/>
    <w:rsid w:val="00FC32B4"/>
    <w:rsid w:val="00FD173D"/>
    <w:rsid w:val="00FD2982"/>
    <w:rsid w:val="00FD3871"/>
    <w:rsid w:val="00FD4911"/>
    <w:rsid w:val="00FE17E2"/>
    <w:rsid w:val="00FE460C"/>
    <w:rsid w:val="00FF67CD"/>
    <w:rsid w:val="00FF6E4B"/>
    <w:rsid w:val="01679C87"/>
    <w:rsid w:val="05C2F141"/>
    <w:rsid w:val="06029359"/>
    <w:rsid w:val="062B6F3D"/>
    <w:rsid w:val="084D73D1"/>
    <w:rsid w:val="09DF50E2"/>
    <w:rsid w:val="0A250543"/>
    <w:rsid w:val="0ADC6B23"/>
    <w:rsid w:val="0AFB3DE6"/>
    <w:rsid w:val="0B7B2143"/>
    <w:rsid w:val="0BD076FA"/>
    <w:rsid w:val="0D9CAE41"/>
    <w:rsid w:val="0DBD6678"/>
    <w:rsid w:val="0E93C8C5"/>
    <w:rsid w:val="0F0817BC"/>
    <w:rsid w:val="0F374EC3"/>
    <w:rsid w:val="0FCA870F"/>
    <w:rsid w:val="1046F5E1"/>
    <w:rsid w:val="123F80F6"/>
    <w:rsid w:val="12912F7F"/>
    <w:rsid w:val="151FC85B"/>
    <w:rsid w:val="15D7F07D"/>
    <w:rsid w:val="162137C6"/>
    <w:rsid w:val="16216836"/>
    <w:rsid w:val="17F41994"/>
    <w:rsid w:val="1834F406"/>
    <w:rsid w:val="1847EBA4"/>
    <w:rsid w:val="18A25AF9"/>
    <w:rsid w:val="196CB313"/>
    <w:rsid w:val="198A9D3C"/>
    <w:rsid w:val="19BEFE48"/>
    <w:rsid w:val="19FD6232"/>
    <w:rsid w:val="1A84C866"/>
    <w:rsid w:val="1BDEA749"/>
    <w:rsid w:val="1C3811C5"/>
    <w:rsid w:val="1C6BDFA3"/>
    <w:rsid w:val="1CC787C5"/>
    <w:rsid w:val="1D12EECC"/>
    <w:rsid w:val="1D3AFE03"/>
    <w:rsid w:val="1DD3E226"/>
    <w:rsid w:val="1E175848"/>
    <w:rsid w:val="1E4701B5"/>
    <w:rsid w:val="1F1D83FE"/>
    <w:rsid w:val="1FA47D7F"/>
    <w:rsid w:val="218A3180"/>
    <w:rsid w:val="21C04339"/>
    <w:rsid w:val="224DF7B4"/>
    <w:rsid w:val="2278514A"/>
    <w:rsid w:val="23B6646C"/>
    <w:rsid w:val="242E75EF"/>
    <w:rsid w:val="244323AA"/>
    <w:rsid w:val="24F7E3FB"/>
    <w:rsid w:val="2604D72A"/>
    <w:rsid w:val="268FF36F"/>
    <w:rsid w:val="2697ADCA"/>
    <w:rsid w:val="2896C77B"/>
    <w:rsid w:val="28A69A47"/>
    <w:rsid w:val="2A3297DC"/>
    <w:rsid w:val="2A4CB239"/>
    <w:rsid w:val="2B4DFD22"/>
    <w:rsid w:val="2BCBF0D2"/>
    <w:rsid w:val="2C496657"/>
    <w:rsid w:val="2D363C95"/>
    <w:rsid w:val="2FD3EE86"/>
    <w:rsid w:val="3061918A"/>
    <w:rsid w:val="32959AF1"/>
    <w:rsid w:val="34CBBF69"/>
    <w:rsid w:val="353475EB"/>
    <w:rsid w:val="363A72C2"/>
    <w:rsid w:val="378460EF"/>
    <w:rsid w:val="3CBF484D"/>
    <w:rsid w:val="3D2566EB"/>
    <w:rsid w:val="3DFA941F"/>
    <w:rsid w:val="3F7CC42E"/>
    <w:rsid w:val="41DBB99B"/>
    <w:rsid w:val="449E5BFD"/>
    <w:rsid w:val="4508B741"/>
    <w:rsid w:val="457ABC07"/>
    <w:rsid w:val="47D967DA"/>
    <w:rsid w:val="47DF65B9"/>
    <w:rsid w:val="4800DDEE"/>
    <w:rsid w:val="493619CC"/>
    <w:rsid w:val="49719EF1"/>
    <w:rsid w:val="49CD397E"/>
    <w:rsid w:val="49CFD7D8"/>
    <w:rsid w:val="4BE687C7"/>
    <w:rsid w:val="4C1C373F"/>
    <w:rsid w:val="4C937D47"/>
    <w:rsid w:val="4E41441C"/>
    <w:rsid w:val="4E9F6B24"/>
    <w:rsid w:val="4F188146"/>
    <w:rsid w:val="4F4F6618"/>
    <w:rsid w:val="50FE7017"/>
    <w:rsid w:val="51E5151A"/>
    <w:rsid w:val="526657D7"/>
    <w:rsid w:val="53E43AB9"/>
    <w:rsid w:val="5408D287"/>
    <w:rsid w:val="5423149B"/>
    <w:rsid w:val="54556A58"/>
    <w:rsid w:val="5475AF6C"/>
    <w:rsid w:val="54EDC54D"/>
    <w:rsid w:val="55A7126A"/>
    <w:rsid w:val="55DAD3D7"/>
    <w:rsid w:val="5603AF18"/>
    <w:rsid w:val="56851F3D"/>
    <w:rsid w:val="56AF155D"/>
    <w:rsid w:val="56EA1E99"/>
    <w:rsid w:val="576EF44A"/>
    <w:rsid w:val="5835E534"/>
    <w:rsid w:val="58868F89"/>
    <w:rsid w:val="5908CE47"/>
    <w:rsid w:val="59763452"/>
    <w:rsid w:val="59A081D1"/>
    <w:rsid w:val="59ACDBAC"/>
    <w:rsid w:val="5A4EC2F3"/>
    <w:rsid w:val="5A6044CE"/>
    <w:rsid w:val="5B1622DD"/>
    <w:rsid w:val="5C72F09C"/>
    <w:rsid w:val="5CB05B2E"/>
    <w:rsid w:val="5E9618D1"/>
    <w:rsid w:val="5FB6DA57"/>
    <w:rsid w:val="6094DAE3"/>
    <w:rsid w:val="60FE4A62"/>
    <w:rsid w:val="618019A2"/>
    <w:rsid w:val="62E78C8B"/>
    <w:rsid w:val="630BC6FA"/>
    <w:rsid w:val="665A49C7"/>
    <w:rsid w:val="6730C3BA"/>
    <w:rsid w:val="69774DE9"/>
    <w:rsid w:val="6AC872F0"/>
    <w:rsid w:val="6B131E4A"/>
    <w:rsid w:val="6B8DBB4D"/>
    <w:rsid w:val="6BF2507D"/>
    <w:rsid w:val="6CAEEEAB"/>
    <w:rsid w:val="6CC81708"/>
    <w:rsid w:val="6D663121"/>
    <w:rsid w:val="6E4A5A65"/>
    <w:rsid w:val="6EA34391"/>
    <w:rsid w:val="6EBD3728"/>
    <w:rsid w:val="6F47B03B"/>
    <w:rsid w:val="701867C8"/>
    <w:rsid w:val="7028312C"/>
    <w:rsid w:val="70B95908"/>
    <w:rsid w:val="713F861C"/>
    <w:rsid w:val="72A19CD1"/>
    <w:rsid w:val="72E71B13"/>
    <w:rsid w:val="731E302F"/>
    <w:rsid w:val="7338808C"/>
    <w:rsid w:val="7482EB74"/>
    <w:rsid w:val="74BA0090"/>
    <w:rsid w:val="769CD33F"/>
    <w:rsid w:val="77A817D7"/>
    <w:rsid w:val="79551D1A"/>
    <w:rsid w:val="797D97A2"/>
    <w:rsid w:val="79D73AFE"/>
    <w:rsid w:val="7A7B08C4"/>
    <w:rsid w:val="7B67CE73"/>
    <w:rsid w:val="7B7E25D5"/>
    <w:rsid w:val="7CCCFFFB"/>
    <w:rsid w:val="7E61A2A1"/>
    <w:rsid w:val="7E9A6F6F"/>
    <w:rsid w:val="7EBBE7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8B24B"/>
  <w15:docId w15:val="{763C30D6-8CBD-421E-9DDD-48A8FDB7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C01E05"/>
    <w:rPr>
      <w:rFonts w:ascii="Arial" w:hAnsi="Arial"/>
      <w:sz w:val="24"/>
      <w:lang w:eastAsia="en-US"/>
    </w:rPr>
  </w:style>
  <w:style w:type="character" w:customStyle="1" w:styleId="fmybhe">
    <w:name w:val="fmybhe"/>
    <w:basedOn w:val="DefaultParagraphFont"/>
    <w:rsid w:val="0043551B"/>
  </w:style>
  <w:style w:type="character" w:styleId="Emphasis">
    <w:name w:val="Emphasis"/>
    <w:basedOn w:val="DefaultParagraphFont"/>
    <w:uiPriority w:val="20"/>
    <w:qFormat/>
    <w:rsid w:val="00DE7F8E"/>
    <w:rPr>
      <w:i/>
      <w:iCs/>
    </w:rPr>
  </w:style>
  <w:style w:type="character" w:styleId="CommentReference">
    <w:name w:val="annotation reference"/>
    <w:basedOn w:val="DefaultParagraphFont"/>
    <w:unhideWhenUsed/>
    <w:rsid w:val="00C63B8B"/>
    <w:rPr>
      <w:sz w:val="16"/>
      <w:szCs w:val="16"/>
    </w:rPr>
  </w:style>
  <w:style w:type="paragraph" w:styleId="CommentText">
    <w:name w:val="annotation text"/>
    <w:basedOn w:val="Normal"/>
    <w:link w:val="CommentTextChar"/>
    <w:unhideWhenUsed/>
    <w:rsid w:val="00C63B8B"/>
    <w:rPr>
      <w:sz w:val="20"/>
    </w:rPr>
  </w:style>
  <w:style w:type="character" w:customStyle="1" w:styleId="CommentTextChar">
    <w:name w:val="Comment Text Char"/>
    <w:basedOn w:val="DefaultParagraphFont"/>
    <w:link w:val="CommentText"/>
    <w:rsid w:val="00C63B8B"/>
    <w:rPr>
      <w:rFonts w:ascii="Arial" w:hAnsi="Arial"/>
      <w:lang w:eastAsia="en-US"/>
    </w:rPr>
  </w:style>
  <w:style w:type="paragraph" w:styleId="PlainText">
    <w:name w:val="Plain Text"/>
    <w:basedOn w:val="Normal"/>
    <w:link w:val="PlainTextChar"/>
    <w:rsid w:val="00E155AB"/>
    <w:rPr>
      <w:rFonts w:ascii="Courier New" w:hAnsi="Courier New" w:cs="Courier New"/>
      <w:sz w:val="20"/>
      <w:lang w:eastAsia="en-GB"/>
    </w:rPr>
  </w:style>
  <w:style w:type="character" w:customStyle="1" w:styleId="PlainTextChar">
    <w:name w:val="Plain Text Char"/>
    <w:basedOn w:val="DefaultParagraphFont"/>
    <w:link w:val="PlainText"/>
    <w:rsid w:val="00E155AB"/>
    <w:rPr>
      <w:rFonts w:ascii="Courier New" w:hAnsi="Courier New" w:cs="Courier New"/>
    </w:rPr>
  </w:style>
  <w:style w:type="paragraph" w:styleId="CommentSubject">
    <w:name w:val="annotation subject"/>
    <w:basedOn w:val="CommentText"/>
    <w:next w:val="CommentText"/>
    <w:link w:val="CommentSubjectChar"/>
    <w:semiHidden/>
    <w:unhideWhenUsed/>
    <w:rsid w:val="00B50283"/>
    <w:rPr>
      <w:b/>
      <w:bCs/>
    </w:rPr>
  </w:style>
  <w:style w:type="character" w:customStyle="1" w:styleId="CommentSubjectChar">
    <w:name w:val="Comment Subject Char"/>
    <w:basedOn w:val="CommentTextChar"/>
    <w:link w:val="CommentSubject"/>
    <w:semiHidden/>
    <w:rsid w:val="00B5028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03">
      <w:bodyDiv w:val="1"/>
      <w:marLeft w:val="0"/>
      <w:marRight w:val="0"/>
      <w:marTop w:val="0"/>
      <w:marBottom w:val="0"/>
      <w:divBdr>
        <w:top w:val="none" w:sz="0" w:space="0" w:color="auto"/>
        <w:left w:val="none" w:sz="0" w:space="0" w:color="auto"/>
        <w:bottom w:val="none" w:sz="0" w:space="0" w:color="auto"/>
        <w:right w:val="none" w:sz="0" w:space="0" w:color="auto"/>
      </w:divBdr>
    </w:div>
    <w:div w:id="127014113">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88519005">
      <w:bodyDiv w:val="1"/>
      <w:marLeft w:val="0"/>
      <w:marRight w:val="0"/>
      <w:marTop w:val="0"/>
      <w:marBottom w:val="0"/>
      <w:divBdr>
        <w:top w:val="none" w:sz="0" w:space="0" w:color="auto"/>
        <w:left w:val="none" w:sz="0" w:space="0" w:color="auto"/>
        <w:bottom w:val="none" w:sz="0" w:space="0" w:color="auto"/>
        <w:right w:val="none" w:sz="0" w:space="0" w:color="auto"/>
      </w:divBdr>
      <w:divsChild>
        <w:div w:id="35589779">
          <w:marLeft w:val="274"/>
          <w:marRight w:val="0"/>
          <w:marTop w:val="0"/>
          <w:marBottom w:val="0"/>
          <w:divBdr>
            <w:top w:val="none" w:sz="0" w:space="0" w:color="auto"/>
            <w:left w:val="none" w:sz="0" w:space="0" w:color="auto"/>
            <w:bottom w:val="none" w:sz="0" w:space="0" w:color="auto"/>
            <w:right w:val="none" w:sz="0" w:space="0" w:color="auto"/>
          </w:divBdr>
        </w:div>
        <w:div w:id="114369204">
          <w:marLeft w:val="274"/>
          <w:marRight w:val="0"/>
          <w:marTop w:val="0"/>
          <w:marBottom w:val="0"/>
          <w:divBdr>
            <w:top w:val="none" w:sz="0" w:space="0" w:color="auto"/>
            <w:left w:val="none" w:sz="0" w:space="0" w:color="auto"/>
            <w:bottom w:val="none" w:sz="0" w:space="0" w:color="auto"/>
            <w:right w:val="none" w:sz="0" w:space="0" w:color="auto"/>
          </w:divBdr>
        </w:div>
        <w:div w:id="1065641973">
          <w:marLeft w:val="274"/>
          <w:marRight w:val="0"/>
          <w:marTop w:val="0"/>
          <w:marBottom w:val="0"/>
          <w:divBdr>
            <w:top w:val="none" w:sz="0" w:space="0" w:color="auto"/>
            <w:left w:val="none" w:sz="0" w:space="0" w:color="auto"/>
            <w:bottom w:val="none" w:sz="0" w:space="0" w:color="auto"/>
            <w:right w:val="none" w:sz="0" w:space="0" w:color="auto"/>
          </w:divBdr>
        </w:div>
      </w:divsChild>
    </w:div>
    <w:div w:id="546531252">
      <w:bodyDiv w:val="1"/>
      <w:marLeft w:val="0"/>
      <w:marRight w:val="0"/>
      <w:marTop w:val="0"/>
      <w:marBottom w:val="0"/>
      <w:divBdr>
        <w:top w:val="none" w:sz="0" w:space="0" w:color="auto"/>
        <w:left w:val="none" w:sz="0" w:space="0" w:color="auto"/>
        <w:bottom w:val="none" w:sz="0" w:space="0" w:color="auto"/>
        <w:right w:val="none" w:sz="0" w:space="0" w:color="auto"/>
      </w:divBdr>
      <w:divsChild>
        <w:div w:id="271019413">
          <w:marLeft w:val="0"/>
          <w:marRight w:val="0"/>
          <w:marTop w:val="0"/>
          <w:marBottom w:val="0"/>
          <w:divBdr>
            <w:top w:val="none" w:sz="0" w:space="0" w:color="auto"/>
            <w:left w:val="none" w:sz="0" w:space="0" w:color="auto"/>
            <w:bottom w:val="none" w:sz="0" w:space="0" w:color="auto"/>
            <w:right w:val="none" w:sz="0" w:space="0" w:color="auto"/>
          </w:divBdr>
        </w:div>
        <w:div w:id="1086268982">
          <w:marLeft w:val="0"/>
          <w:marRight w:val="0"/>
          <w:marTop w:val="0"/>
          <w:marBottom w:val="0"/>
          <w:divBdr>
            <w:top w:val="none" w:sz="0" w:space="0" w:color="auto"/>
            <w:left w:val="none" w:sz="0" w:space="0" w:color="auto"/>
            <w:bottom w:val="none" w:sz="0" w:space="0" w:color="auto"/>
            <w:right w:val="none" w:sz="0" w:space="0" w:color="auto"/>
          </w:divBdr>
        </w:div>
        <w:div w:id="1709914771">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34935153">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42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552492">
          <w:marLeft w:val="0"/>
          <w:marRight w:val="0"/>
          <w:marTop w:val="0"/>
          <w:marBottom w:val="0"/>
          <w:divBdr>
            <w:top w:val="none" w:sz="0" w:space="0" w:color="auto"/>
            <w:left w:val="none" w:sz="0" w:space="0" w:color="auto"/>
            <w:bottom w:val="none" w:sz="0" w:space="0" w:color="auto"/>
            <w:right w:val="none" w:sz="0" w:space="0" w:color="auto"/>
          </w:divBdr>
        </w:div>
        <w:div w:id="2028405475">
          <w:marLeft w:val="0"/>
          <w:marRight w:val="0"/>
          <w:marTop w:val="0"/>
          <w:marBottom w:val="0"/>
          <w:divBdr>
            <w:top w:val="none" w:sz="0" w:space="0" w:color="auto"/>
            <w:left w:val="none" w:sz="0" w:space="0" w:color="auto"/>
            <w:bottom w:val="none" w:sz="0" w:space="0" w:color="auto"/>
            <w:right w:val="none" w:sz="0" w:space="0" w:color="auto"/>
          </w:divBdr>
          <w:divsChild>
            <w:div w:id="17653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372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24701392">
      <w:bodyDiv w:val="1"/>
      <w:marLeft w:val="0"/>
      <w:marRight w:val="0"/>
      <w:marTop w:val="0"/>
      <w:marBottom w:val="0"/>
      <w:divBdr>
        <w:top w:val="none" w:sz="0" w:space="0" w:color="auto"/>
        <w:left w:val="none" w:sz="0" w:space="0" w:color="auto"/>
        <w:bottom w:val="none" w:sz="0" w:space="0" w:color="auto"/>
        <w:right w:val="none" w:sz="0" w:space="0" w:color="auto"/>
      </w:divBdr>
      <w:divsChild>
        <w:div w:id="554119050">
          <w:marLeft w:val="0"/>
          <w:marRight w:val="0"/>
          <w:marTop w:val="0"/>
          <w:marBottom w:val="0"/>
          <w:divBdr>
            <w:top w:val="none" w:sz="0" w:space="0" w:color="auto"/>
            <w:left w:val="none" w:sz="0" w:space="0" w:color="auto"/>
            <w:bottom w:val="none" w:sz="0" w:space="0" w:color="auto"/>
            <w:right w:val="none" w:sz="0" w:space="0" w:color="auto"/>
          </w:divBdr>
        </w:div>
        <w:div w:id="1260020417">
          <w:marLeft w:val="0"/>
          <w:marRight w:val="0"/>
          <w:marTop w:val="0"/>
          <w:marBottom w:val="0"/>
          <w:divBdr>
            <w:top w:val="none" w:sz="0" w:space="0" w:color="auto"/>
            <w:left w:val="none" w:sz="0" w:space="0" w:color="auto"/>
            <w:bottom w:val="none" w:sz="0" w:space="0" w:color="auto"/>
            <w:right w:val="none" w:sz="0" w:space="0" w:color="auto"/>
          </w:divBdr>
        </w:div>
      </w:divsChild>
    </w:div>
    <w:div w:id="1434936261">
      <w:bodyDiv w:val="1"/>
      <w:marLeft w:val="0"/>
      <w:marRight w:val="0"/>
      <w:marTop w:val="0"/>
      <w:marBottom w:val="0"/>
      <w:divBdr>
        <w:top w:val="none" w:sz="0" w:space="0" w:color="auto"/>
        <w:left w:val="none" w:sz="0" w:space="0" w:color="auto"/>
        <w:bottom w:val="none" w:sz="0" w:space="0" w:color="auto"/>
        <w:right w:val="none" w:sz="0" w:space="0" w:color="auto"/>
      </w:divBdr>
    </w:div>
    <w:div w:id="1704476787">
      <w:bodyDiv w:val="1"/>
      <w:marLeft w:val="0"/>
      <w:marRight w:val="0"/>
      <w:marTop w:val="0"/>
      <w:marBottom w:val="0"/>
      <w:divBdr>
        <w:top w:val="none" w:sz="0" w:space="0" w:color="auto"/>
        <w:left w:val="none" w:sz="0" w:space="0" w:color="auto"/>
        <w:bottom w:val="none" w:sz="0" w:space="0" w:color="auto"/>
        <w:right w:val="none" w:sz="0" w:space="0" w:color="auto"/>
      </w:divBdr>
      <w:divsChild>
        <w:div w:id="160004697">
          <w:marLeft w:val="0"/>
          <w:marRight w:val="0"/>
          <w:marTop w:val="0"/>
          <w:marBottom w:val="0"/>
          <w:divBdr>
            <w:top w:val="none" w:sz="0" w:space="0" w:color="auto"/>
            <w:left w:val="none" w:sz="0" w:space="0" w:color="auto"/>
            <w:bottom w:val="none" w:sz="0" w:space="0" w:color="auto"/>
            <w:right w:val="none" w:sz="0" w:space="0" w:color="auto"/>
          </w:divBdr>
          <w:divsChild>
            <w:div w:id="1247114008">
              <w:marLeft w:val="0"/>
              <w:marRight w:val="0"/>
              <w:marTop w:val="0"/>
              <w:marBottom w:val="0"/>
              <w:divBdr>
                <w:top w:val="none" w:sz="0" w:space="0" w:color="auto"/>
                <w:left w:val="none" w:sz="0" w:space="0" w:color="auto"/>
                <w:bottom w:val="none" w:sz="0" w:space="0" w:color="auto"/>
                <w:right w:val="none" w:sz="0" w:space="0" w:color="auto"/>
              </w:divBdr>
              <w:divsChild>
                <w:div w:id="5765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7089">
      <w:bodyDiv w:val="1"/>
      <w:marLeft w:val="0"/>
      <w:marRight w:val="0"/>
      <w:marTop w:val="0"/>
      <w:marBottom w:val="0"/>
      <w:divBdr>
        <w:top w:val="none" w:sz="0" w:space="0" w:color="auto"/>
        <w:left w:val="none" w:sz="0" w:space="0" w:color="auto"/>
        <w:bottom w:val="none" w:sz="0" w:space="0" w:color="auto"/>
        <w:right w:val="none" w:sz="0" w:space="0" w:color="auto"/>
      </w:divBdr>
    </w:div>
    <w:div w:id="1997684167">
      <w:bodyDiv w:val="1"/>
      <w:marLeft w:val="0"/>
      <w:marRight w:val="0"/>
      <w:marTop w:val="0"/>
      <w:marBottom w:val="0"/>
      <w:divBdr>
        <w:top w:val="none" w:sz="0" w:space="0" w:color="auto"/>
        <w:left w:val="none" w:sz="0" w:space="0" w:color="auto"/>
        <w:bottom w:val="none" w:sz="0" w:space="0" w:color="auto"/>
        <w:right w:val="none" w:sz="0" w:space="0" w:color="auto"/>
      </w:divBdr>
    </w:div>
    <w:div w:id="2069261153">
      <w:bodyDiv w:val="1"/>
      <w:marLeft w:val="0"/>
      <w:marRight w:val="0"/>
      <w:marTop w:val="0"/>
      <w:marBottom w:val="0"/>
      <w:divBdr>
        <w:top w:val="none" w:sz="0" w:space="0" w:color="auto"/>
        <w:left w:val="none" w:sz="0" w:space="0" w:color="auto"/>
        <w:bottom w:val="none" w:sz="0" w:space="0" w:color="auto"/>
        <w:right w:val="none" w:sz="0" w:space="0" w:color="auto"/>
      </w:divBdr>
      <w:divsChild>
        <w:div w:id="5403439">
          <w:marLeft w:val="0"/>
          <w:marRight w:val="0"/>
          <w:marTop w:val="0"/>
          <w:marBottom w:val="0"/>
          <w:divBdr>
            <w:top w:val="none" w:sz="0" w:space="0" w:color="auto"/>
            <w:left w:val="none" w:sz="0" w:space="0" w:color="auto"/>
            <w:bottom w:val="none" w:sz="0" w:space="0" w:color="auto"/>
            <w:right w:val="none" w:sz="0" w:space="0" w:color="auto"/>
          </w:divBdr>
        </w:div>
        <w:div w:id="1870637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4675</TotalTime>
  <Pages>9</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16710</CharactersWithSpaces>
  <SharedDoc>false</SharedDoc>
  <HLinks>
    <vt:vector size="12" baseType="variant">
      <vt:variant>
        <vt:i4>720909</vt:i4>
      </vt:variant>
      <vt:variant>
        <vt:i4>3</vt:i4>
      </vt:variant>
      <vt:variant>
        <vt:i4>0</vt:i4>
      </vt:variant>
      <vt:variant>
        <vt:i4>5</vt:i4>
      </vt:variant>
      <vt:variant>
        <vt:lpwstr>https://www.192.com/address/details/harrow/ha3+7lh/vernon+lodge+654/</vt:lpwstr>
      </vt:variant>
      <vt:variant>
        <vt:lpwstr/>
      </vt:variant>
      <vt:variant>
        <vt:i4>720909</vt:i4>
      </vt:variant>
      <vt:variant>
        <vt:i4>0</vt:i4>
      </vt:variant>
      <vt:variant>
        <vt:i4>0</vt:i4>
      </vt:variant>
      <vt:variant>
        <vt:i4>5</vt:i4>
      </vt:variant>
      <vt:variant>
        <vt:lpwstr>https://www.192.com/address/details/harrow/ha3+7lh/vernon+lodge+654/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Andrew Seaman5</cp:lastModifiedBy>
  <cp:revision>29</cp:revision>
  <cp:lastPrinted>2014-10-31T23:34:00Z</cp:lastPrinted>
  <dcterms:created xsi:type="dcterms:W3CDTF">2024-01-12T10:35:00Z</dcterms:created>
  <dcterms:modified xsi:type="dcterms:W3CDTF">2024-02-06T12:45:00Z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